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6.xml" ContentType="application/vnd.openxmlformats-officedocument.drawingml.chart+xml"/>
  <Override PartName="/word/charts/chart7.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8.xml" ContentType="application/vnd.openxmlformats-officedocument.drawingml.chart+xml"/>
  <Override PartName="/word/theme/themeOverride1.xml" ContentType="application/vnd.openxmlformats-officedocument.themeOverride+xml"/>
  <Override PartName="/word/charts/chart9.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2.xml" ContentType="application/vnd.openxmlformats-officedocument.drawingml.chartshapes+xml"/>
  <Override PartName="/word/charts/chart10.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2.xml" ContentType="application/vnd.openxmlformats-officedocument.themeOverride+xml"/>
  <Override PartName="/word/charts/chart11.xml" ContentType="application/vnd.openxmlformats-officedocument.drawingml.chart+xml"/>
  <Override PartName="/word/theme/themeOverride3.xml" ContentType="application/vnd.openxmlformats-officedocument.themeOverride+xml"/>
  <Override PartName="/word/charts/chart1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251" w:rsidRDefault="00B50251" w:rsidP="00617A1F">
      <w:pPr>
        <w:ind w:firstLine="709"/>
        <w:jc w:val="center"/>
        <w:rPr>
          <w:b/>
          <w:sz w:val="28"/>
          <w:szCs w:val="28"/>
          <w:lang w:val="uk-UA"/>
        </w:rPr>
      </w:pPr>
    </w:p>
    <w:p w:rsidR="00B50251" w:rsidRPr="007C6F26" w:rsidRDefault="00B50251" w:rsidP="00B50251">
      <w:pPr>
        <w:pStyle w:val="a9"/>
        <w:rPr>
          <w:b/>
          <w:szCs w:val="28"/>
        </w:rPr>
      </w:pPr>
      <w:r>
        <w:rPr>
          <w:b/>
          <w:szCs w:val="28"/>
        </w:rPr>
        <w:t>ЗВІТ</w:t>
      </w:r>
    </w:p>
    <w:p w:rsidR="00B50251" w:rsidRPr="00641230" w:rsidRDefault="00B50251" w:rsidP="00B50251">
      <w:pPr>
        <w:jc w:val="center"/>
        <w:rPr>
          <w:b/>
          <w:sz w:val="28"/>
          <w:szCs w:val="28"/>
          <w:lang w:val="uk-UA"/>
        </w:rPr>
      </w:pPr>
      <w:r>
        <w:rPr>
          <w:b/>
          <w:sz w:val="28"/>
          <w:szCs w:val="28"/>
          <w:lang w:val="uk-UA"/>
        </w:rPr>
        <w:t>п</w:t>
      </w:r>
      <w:r w:rsidRPr="00641230">
        <w:rPr>
          <w:b/>
          <w:sz w:val="28"/>
          <w:szCs w:val="28"/>
          <w:lang w:val="uk-UA"/>
        </w:rPr>
        <w:t>ро</w:t>
      </w:r>
      <w:r>
        <w:rPr>
          <w:b/>
          <w:sz w:val="28"/>
          <w:szCs w:val="28"/>
          <w:lang w:val="uk-UA"/>
        </w:rPr>
        <w:t xml:space="preserve"> хід</w:t>
      </w:r>
      <w:r w:rsidRPr="00641230">
        <w:rPr>
          <w:b/>
          <w:sz w:val="28"/>
          <w:szCs w:val="28"/>
          <w:lang w:val="uk-UA"/>
        </w:rPr>
        <w:t xml:space="preserve"> виконання місцевого бюджету </w:t>
      </w:r>
    </w:p>
    <w:p w:rsidR="00B50251" w:rsidRPr="00641230" w:rsidRDefault="00B50251" w:rsidP="00B50251">
      <w:pPr>
        <w:jc w:val="center"/>
        <w:rPr>
          <w:b/>
          <w:sz w:val="28"/>
          <w:szCs w:val="28"/>
          <w:lang w:val="uk-UA"/>
        </w:rPr>
      </w:pPr>
      <w:r w:rsidRPr="00641230">
        <w:rPr>
          <w:b/>
          <w:sz w:val="28"/>
          <w:szCs w:val="28"/>
          <w:lang w:val="uk-UA"/>
        </w:rPr>
        <w:t xml:space="preserve">Бучанської міської територіальної громади </w:t>
      </w:r>
    </w:p>
    <w:p w:rsidR="00B50251" w:rsidRDefault="00B50251" w:rsidP="00B50251">
      <w:pPr>
        <w:jc w:val="center"/>
        <w:rPr>
          <w:b/>
          <w:sz w:val="28"/>
          <w:szCs w:val="28"/>
          <w:lang w:val="uk-UA"/>
        </w:rPr>
      </w:pPr>
      <w:r w:rsidRPr="00641230">
        <w:rPr>
          <w:b/>
          <w:sz w:val="28"/>
          <w:szCs w:val="28"/>
          <w:lang w:val="uk-UA"/>
        </w:rPr>
        <w:t>за 1 квартал 2021 року</w:t>
      </w:r>
    </w:p>
    <w:p w:rsidR="00B50251" w:rsidRDefault="00B50251" w:rsidP="00B50251">
      <w:pPr>
        <w:jc w:val="center"/>
        <w:rPr>
          <w:b/>
          <w:sz w:val="28"/>
          <w:szCs w:val="28"/>
          <w:lang w:val="uk-UA"/>
        </w:rPr>
      </w:pPr>
    </w:p>
    <w:p w:rsidR="00B50251" w:rsidRPr="00641230" w:rsidRDefault="00B50251" w:rsidP="00B50251">
      <w:pPr>
        <w:jc w:val="center"/>
        <w:rPr>
          <w:b/>
          <w:sz w:val="28"/>
          <w:szCs w:val="28"/>
          <w:lang w:val="uk-UA"/>
        </w:rPr>
      </w:pPr>
      <w:r>
        <w:rPr>
          <w:b/>
          <w:sz w:val="28"/>
          <w:szCs w:val="28"/>
          <w:lang w:val="uk-UA"/>
        </w:rPr>
        <w:t>ДОХОДИ</w:t>
      </w:r>
    </w:p>
    <w:p w:rsidR="00B50251" w:rsidRPr="00641230" w:rsidRDefault="00B50251" w:rsidP="00B50251">
      <w:pPr>
        <w:tabs>
          <w:tab w:val="left" w:pos="1530"/>
          <w:tab w:val="left" w:pos="3210"/>
          <w:tab w:val="center" w:pos="5127"/>
        </w:tabs>
        <w:ind w:firstLine="900"/>
        <w:jc w:val="center"/>
        <w:rPr>
          <w:b/>
          <w:sz w:val="28"/>
          <w:szCs w:val="28"/>
          <w:lang w:val="uk-UA"/>
        </w:rPr>
      </w:pPr>
    </w:p>
    <w:p w:rsidR="00B50251" w:rsidRPr="009138DE" w:rsidRDefault="00B50251" w:rsidP="009138DE">
      <w:pPr>
        <w:tabs>
          <w:tab w:val="left" w:pos="1530"/>
          <w:tab w:val="left" w:pos="3210"/>
          <w:tab w:val="center" w:pos="5127"/>
        </w:tabs>
        <w:ind w:firstLine="680"/>
        <w:jc w:val="both"/>
        <w:rPr>
          <w:lang w:val="uk-UA"/>
        </w:rPr>
      </w:pPr>
      <w:r w:rsidRPr="009138DE">
        <w:rPr>
          <w:lang w:val="uk-UA"/>
        </w:rPr>
        <w:t>Загальна сума доходів Бучанської міської територіальної громади за 1-й квартал 2021 року становить 165 423,3 тис. грн. та включає в себе:</w:t>
      </w:r>
    </w:p>
    <w:p w:rsidR="00B50251" w:rsidRPr="009138DE" w:rsidRDefault="00B50251" w:rsidP="009138DE">
      <w:pPr>
        <w:pStyle w:val="af6"/>
        <w:numPr>
          <w:ilvl w:val="0"/>
          <w:numId w:val="41"/>
        </w:numPr>
        <w:tabs>
          <w:tab w:val="left" w:pos="1530"/>
          <w:tab w:val="left" w:pos="3210"/>
          <w:tab w:val="center" w:pos="5127"/>
        </w:tabs>
        <w:spacing w:after="0" w:line="240" w:lineRule="auto"/>
        <w:ind w:left="0" w:firstLine="1276"/>
        <w:jc w:val="both"/>
        <w:rPr>
          <w:rFonts w:ascii="Times New Roman" w:hAnsi="Times New Roman"/>
          <w:sz w:val="24"/>
          <w:szCs w:val="24"/>
        </w:rPr>
      </w:pPr>
      <w:r w:rsidRPr="009138DE">
        <w:rPr>
          <w:rFonts w:ascii="Times New Roman" w:hAnsi="Times New Roman"/>
          <w:sz w:val="24"/>
          <w:szCs w:val="24"/>
        </w:rPr>
        <w:t xml:space="preserve"> податкові надходження - 111 588,3 тис. грн.,</w:t>
      </w:r>
    </w:p>
    <w:p w:rsidR="00B50251" w:rsidRPr="009138DE" w:rsidRDefault="00B50251" w:rsidP="009138DE">
      <w:pPr>
        <w:pStyle w:val="af6"/>
        <w:numPr>
          <w:ilvl w:val="0"/>
          <w:numId w:val="41"/>
        </w:numPr>
        <w:tabs>
          <w:tab w:val="left" w:pos="1530"/>
          <w:tab w:val="left" w:pos="3210"/>
          <w:tab w:val="center" w:pos="5127"/>
        </w:tabs>
        <w:spacing w:after="0" w:line="240" w:lineRule="auto"/>
        <w:ind w:left="0" w:firstLine="1276"/>
        <w:jc w:val="both"/>
        <w:rPr>
          <w:rFonts w:ascii="Times New Roman" w:hAnsi="Times New Roman"/>
          <w:sz w:val="24"/>
          <w:szCs w:val="24"/>
        </w:rPr>
      </w:pPr>
      <w:r w:rsidRPr="009138DE">
        <w:rPr>
          <w:rFonts w:ascii="Times New Roman" w:hAnsi="Times New Roman"/>
          <w:sz w:val="24"/>
          <w:szCs w:val="24"/>
        </w:rPr>
        <w:t xml:space="preserve"> неподаткові надходження - 4 882,5 тис. грн.,</w:t>
      </w:r>
    </w:p>
    <w:p w:rsidR="00B50251" w:rsidRPr="009138DE" w:rsidRDefault="00B50251" w:rsidP="009138DE">
      <w:pPr>
        <w:pStyle w:val="af6"/>
        <w:numPr>
          <w:ilvl w:val="0"/>
          <w:numId w:val="41"/>
        </w:numPr>
        <w:tabs>
          <w:tab w:val="left" w:pos="1530"/>
          <w:tab w:val="left" w:pos="3210"/>
          <w:tab w:val="center" w:pos="5127"/>
        </w:tabs>
        <w:spacing w:after="0" w:line="240" w:lineRule="auto"/>
        <w:ind w:left="0" w:firstLine="1276"/>
        <w:jc w:val="both"/>
        <w:rPr>
          <w:rFonts w:ascii="Times New Roman" w:hAnsi="Times New Roman"/>
          <w:sz w:val="24"/>
          <w:szCs w:val="24"/>
        </w:rPr>
      </w:pPr>
      <w:r w:rsidRPr="009138DE">
        <w:rPr>
          <w:rFonts w:ascii="Times New Roman" w:hAnsi="Times New Roman"/>
          <w:sz w:val="24"/>
          <w:szCs w:val="24"/>
        </w:rPr>
        <w:t xml:space="preserve"> цільові фонди – 2 800,2 тис. грн.,</w:t>
      </w:r>
    </w:p>
    <w:p w:rsidR="00B50251" w:rsidRPr="009138DE" w:rsidRDefault="00B50251" w:rsidP="009138DE">
      <w:pPr>
        <w:pStyle w:val="af6"/>
        <w:numPr>
          <w:ilvl w:val="0"/>
          <w:numId w:val="41"/>
        </w:numPr>
        <w:tabs>
          <w:tab w:val="left" w:pos="1530"/>
          <w:tab w:val="left" w:pos="3210"/>
          <w:tab w:val="center" w:pos="5127"/>
        </w:tabs>
        <w:spacing w:after="0" w:line="240" w:lineRule="auto"/>
        <w:ind w:left="0" w:firstLine="1276"/>
        <w:jc w:val="both"/>
        <w:rPr>
          <w:rFonts w:ascii="Times New Roman" w:hAnsi="Times New Roman"/>
          <w:sz w:val="24"/>
          <w:szCs w:val="24"/>
        </w:rPr>
      </w:pPr>
      <w:r w:rsidRPr="009138DE">
        <w:rPr>
          <w:rFonts w:ascii="Times New Roman" w:hAnsi="Times New Roman"/>
          <w:sz w:val="24"/>
          <w:szCs w:val="24"/>
        </w:rPr>
        <w:t xml:space="preserve"> офіційні трансферти – 40 543,1 тис. грн.,</w:t>
      </w:r>
    </w:p>
    <w:p w:rsidR="00B50251" w:rsidRPr="009138DE" w:rsidRDefault="00B50251" w:rsidP="009138DE">
      <w:pPr>
        <w:pStyle w:val="af6"/>
        <w:numPr>
          <w:ilvl w:val="0"/>
          <w:numId w:val="41"/>
        </w:numPr>
        <w:tabs>
          <w:tab w:val="left" w:pos="1530"/>
          <w:tab w:val="left" w:pos="3210"/>
          <w:tab w:val="center" w:pos="5127"/>
        </w:tabs>
        <w:spacing w:after="0" w:line="240" w:lineRule="auto"/>
        <w:ind w:left="0" w:firstLine="1276"/>
        <w:jc w:val="both"/>
        <w:rPr>
          <w:rFonts w:ascii="Times New Roman" w:hAnsi="Times New Roman"/>
          <w:sz w:val="24"/>
          <w:szCs w:val="24"/>
        </w:rPr>
      </w:pPr>
      <w:r w:rsidRPr="009138DE">
        <w:rPr>
          <w:rFonts w:ascii="Times New Roman" w:hAnsi="Times New Roman"/>
          <w:sz w:val="24"/>
          <w:szCs w:val="24"/>
        </w:rPr>
        <w:t xml:space="preserve"> доходи від операцій з капіталом – 5 609,2 тис. грн.</w:t>
      </w:r>
    </w:p>
    <w:p w:rsidR="00B50251" w:rsidRPr="009138DE" w:rsidRDefault="00B50251" w:rsidP="009138DE">
      <w:pPr>
        <w:tabs>
          <w:tab w:val="left" w:pos="1530"/>
          <w:tab w:val="left" w:pos="3210"/>
          <w:tab w:val="center" w:pos="5127"/>
        </w:tabs>
        <w:ind w:firstLine="680"/>
        <w:jc w:val="both"/>
        <w:rPr>
          <w:lang w:val="uk-UA"/>
        </w:rPr>
      </w:pPr>
      <w:r w:rsidRPr="009138DE">
        <w:rPr>
          <w:lang w:val="uk-UA"/>
        </w:rPr>
        <w:t xml:space="preserve">Порівняно з аналогічним звітним періодом 2020 року сума доходів громади збільшилась на   32 220,7 тис. грн., що в відсотковому співвідношенні становить 124,2%. </w:t>
      </w:r>
    </w:p>
    <w:p w:rsidR="00B50251" w:rsidRPr="009138DE" w:rsidRDefault="00B50251" w:rsidP="009138DE">
      <w:pPr>
        <w:tabs>
          <w:tab w:val="left" w:pos="1530"/>
          <w:tab w:val="left" w:pos="3210"/>
          <w:tab w:val="center" w:pos="5127"/>
        </w:tabs>
        <w:ind w:firstLine="680"/>
        <w:jc w:val="both"/>
        <w:rPr>
          <w:lang w:val="uk-UA"/>
        </w:rPr>
      </w:pPr>
      <w:r w:rsidRPr="009138DE">
        <w:rPr>
          <w:lang w:val="uk-UA"/>
        </w:rPr>
        <w:t xml:space="preserve">Значний відсоток росту надходжень до бюджету, насамперед, обумовлений збільшенням кількості юридичних та фізичних осіб-платників податків, що є наслідком приєднання до Бучанської міської територіальної громади нових населених пунктів: Ворзель, Синяк, Мироцьке, Бабинці, Здвижівка, Вороньківка, Раківка, Червоне, Буда-Бабинецька. </w:t>
      </w:r>
    </w:p>
    <w:p w:rsidR="00B50251" w:rsidRPr="00641230" w:rsidRDefault="00B50251" w:rsidP="00B50251">
      <w:pPr>
        <w:tabs>
          <w:tab w:val="left" w:pos="1530"/>
          <w:tab w:val="left" w:pos="3210"/>
          <w:tab w:val="center" w:pos="5127"/>
        </w:tabs>
        <w:ind w:firstLine="900"/>
        <w:jc w:val="center"/>
        <w:rPr>
          <w:b/>
          <w:sz w:val="28"/>
          <w:szCs w:val="28"/>
          <w:lang w:val="uk-UA"/>
        </w:rPr>
      </w:pPr>
    </w:p>
    <w:p w:rsidR="00B50251" w:rsidRPr="00E3679C" w:rsidRDefault="00B50251" w:rsidP="00B50251">
      <w:pPr>
        <w:tabs>
          <w:tab w:val="left" w:pos="1530"/>
          <w:tab w:val="left" w:pos="3210"/>
          <w:tab w:val="center" w:pos="5127"/>
        </w:tabs>
        <w:ind w:firstLine="900"/>
        <w:jc w:val="center"/>
        <w:rPr>
          <w:b/>
          <w:i/>
          <w:lang w:val="uk-UA"/>
        </w:rPr>
      </w:pPr>
      <w:r w:rsidRPr="00E3679C">
        <w:rPr>
          <w:b/>
          <w:i/>
          <w:lang w:val="uk-UA"/>
        </w:rPr>
        <w:t>ЗАГАЛЬНИЙ ФОНД</w:t>
      </w:r>
    </w:p>
    <w:p w:rsidR="00B50251" w:rsidRPr="00641230" w:rsidRDefault="00B50251" w:rsidP="00B50251">
      <w:pPr>
        <w:tabs>
          <w:tab w:val="left" w:pos="1530"/>
          <w:tab w:val="left" w:pos="3210"/>
          <w:tab w:val="center" w:pos="5127"/>
        </w:tabs>
        <w:ind w:firstLine="900"/>
        <w:jc w:val="center"/>
        <w:rPr>
          <w:b/>
          <w:lang w:val="uk-UA"/>
        </w:rPr>
      </w:pPr>
    </w:p>
    <w:p w:rsidR="00B50251" w:rsidRPr="00E101D6" w:rsidRDefault="00B50251" w:rsidP="00B50251">
      <w:pPr>
        <w:ind w:firstLine="900"/>
        <w:jc w:val="both"/>
        <w:rPr>
          <w:lang w:val="uk-UA"/>
        </w:rPr>
      </w:pPr>
      <w:r w:rsidRPr="00E101D6">
        <w:rPr>
          <w:lang w:val="uk-UA"/>
        </w:rPr>
        <w:t xml:space="preserve">Бюджет Бучанської міської територіальної громади за 1-й квартал 2021 року по доходах загального фонду (без врахування  офіційних трансфертів) виконано на 125,3% та становить 113 532,7 тис. грн., що на 44 971,6 тис. грн. більше проти фактичного виконання за 3 місяці 2020 року. Темп росту в порівняні з відповідним періодом минулого року складає 165,6%. </w:t>
      </w:r>
    </w:p>
    <w:p w:rsidR="00B50251" w:rsidRPr="00E101D6" w:rsidRDefault="00B50251" w:rsidP="00B50251">
      <w:pPr>
        <w:ind w:firstLine="900"/>
        <w:jc w:val="both"/>
        <w:rPr>
          <w:lang w:val="uk-UA"/>
        </w:rPr>
      </w:pPr>
      <w:r w:rsidRPr="00E101D6">
        <w:rPr>
          <w:lang w:val="uk-UA"/>
        </w:rPr>
        <w:t xml:space="preserve">Високий відсоток росту надходжень до бюджету, крім зазначеного вище, територіального збільшення громади </w:t>
      </w:r>
      <w:bookmarkStart w:id="0" w:name="_Hlk70592977"/>
      <w:r w:rsidRPr="00E101D6">
        <w:rPr>
          <w:lang w:val="uk-UA"/>
        </w:rPr>
        <w:t>обумовлений ще і такими чинниками, як збільшення розміру мінімальної заробітної плати та розміру прожиткового мінімуму,</w:t>
      </w:r>
      <w:r w:rsidRPr="00E101D6">
        <w:t> </w:t>
      </w:r>
      <w:r w:rsidRPr="00E101D6">
        <w:rPr>
          <w:lang w:val="uk-UA"/>
        </w:rPr>
        <w:t xml:space="preserve">визначених Законом України «Про Державний бюджет України на 2021 рік».  </w:t>
      </w:r>
    </w:p>
    <w:bookmarkEnd w:id="0"/>
    <w:p w:rsidR="00B50251" w:rsidRPr="00E101D6" w:rsidRDefault="00B50251" w:rsidP="00B50251">
      <w:pPr>
        <w:ind w:firstLine="851"/>
        <w:jc w:val="both"/>
        <w:rPr>
          <w:lang w:val="uk-UA"/>
        </w:rPr>
      </w:pPr>
      <w:r w:rsidRPr="00E101D6">
        <w:t>У</w:t>
      </w:r>
      <w:r w:rsidRPr="00E101D6">
        <w:rPr>
          <w:lang w:val="uk-UA"/>
        </w:rPr>
        <w:t xml:space="preserve">точнений </w:t>
      </w:r>
      <w:r w:rsidRPr="00E101D6">
        <w:t xml:space="preserve">план по доходах </w:t>
      </w:r>
      <w:r w:rsidRPr="00E101D6">
        <w:rPr>
          <w:lang w:val="uk-UA"/>
        </w:rPr>
        <w:t xml:space="preserve">загального фонду </w:t>
      </w:r>
      <w:r w:rsidRPr="00E101D6">
        <w:t>на</w:t>
      </w:r>
      <w:r w:rsidRPr="00E101D6">
        <w:rPr>
          <w:lang w:val="uk-UA"/>
        </w:rPr>
        <w:t xml:space="preserve"> 1-й квартал 2021 року (без врахування офіційних трансфертів)</w:t>
      </w:r>
      <w:r w:rsidRPr="00E101D6">
        <w:t xml:space="preserve"> – </w:t>
      </w:r>
      <w:r w:rsidRPr="00E101D6">
        <w:rPr>
          <w:lang w:val="uk-UA"/>
        </w:rPr>
        <w:t>90 638,0</w:t>
      </w:r>
      <w:r w:rsidRPr="00E101D6">
        <w:t xml:space="preserve"> тис. грн. </w:t>
      </w:r>
      <w:r w:rsidRPr="00E101D6">
        <w:rPr>
          <w:lang w:val="uk-UA"/>
        </w:rPr>
        <w:t xml:space="preserve">фактично </w:t>
      </w:r>
      <w:r w:rsidRPr="00E101D6">
        <w:t xml:space="preserve">надійшло – </w:t>
      </w:r>
      <w:r w:rsidRPr="00E101D6">
        <w:rPr>
          <w:lang w:val="uk-UA"/>
        </w:rPr>
        <w:t xml:space="preserve">113 532,7 </w:t>
      </w:r>
      <w:r w:rsidRPr="00E101D6">
        <w:t xml:space="preserve"> тис. грн., що на </w:t>
      </w:r>
      <w:r w:rsidRPr="00E101D6">
        <w:rPr>
          <w:lang w:val="uk-UA"/>
        </w:rPr>
        <w:t>22 894,7</w:t>
      </w:r>
      <w:r w:rsidRPr="00E101D6">
        <w:t xml:space="preserve"> тис. грн</w:t>
      </w:r>
      <w:r w:rsidRPr="00E101D6">
        <w:rPr>
          <w:lang w:val="uk-UA"/>
        </w:rPr>
        <w:t>.</w:t>
      </w:r>
      <w:r w:rsidRPr="00E101D6">
        <w:t xml:space="preserve"> </w:t>
      </w:r>
      <w:r w:rsidRPr="00E101D6">
        <w:rPr>
          <w:lang w:val="uk-UA"/>
        </w:rPr>
        <w:t>більше</w:t>
      </w:r>
      <w:r w:rsidRPr="00E101D6">
        <w:t xml:space="preserve"> </w:t>
      </w:r>
      <w:r w:rsidRPr="00E101D6">
        <w:rPr>
          <w:lang w:val="uk-UA"/>
        </w:rPr>
        <w:t xml:space="preserve">від </w:t>
      </w:r>
      <w:r w:rsidRPr="00E101D6">
        <w:t>планових призначень</w:t>
      </w:r>
      <w:r w:rsidRPr="00E101D6">
        <w:rPr>
          <w:lang w:val="uk-UA"/>
        </w:rPr>
        <w:t xml:space="preserve">. </w:t>
      </w:r>
    </w:p>
    <w:p w:rsidR="00B50251" w:rsidRPr="00E101D6" w:rsidRDefault="00B50251" w:rsidP="00B50251">
      <w:pPr>
        <w:ind w:firstLine="851"/>
        <w:jc w:val="both"/>
        <w:rPr>
          <w:lang w:val="uk-UA"/>
        </w:rPr>
      </w:pPr>
      <w:r w:rsidRPr="00E101D6">
        <w:rPr>
          <w:lang w:val="uk-UA"/>
        </w:rPr>
        <w:t>В</w:t>
      </w:r>
      <w:r w:rsidRPr="00E101D6">
        <w:t xml:space="preserve"> тому числі</w:t>
      </w:r>
      <w:r w:rsidRPr="00E101D6">
        <w:rPr>
          <w:lang w:val="uk-UA"/>
        </w:rPr>
        <w:t xml:space="preserve"> надійшло</w:t>
      </w:r>
      <w:r w:rsidRPr="00E101D6">
        <w:t xml:space="preserve">: </w:t>
      </w:r>
    </w:p>
    <w:p w:rsidR="00B50251" w:rsidRPr="00E101D6" w:rsidRDefault="00B50251" w:rsidP="00B50251">
      <w:pPr>
        <w:pStyle w:val="a4"/>
        <w:shd w:val="clear" w:color="auto" w:fill="FFFFFF" w:themeFill="background1"/>
        <w:ind w:left="0" w:right="-2" w:firstLine="822"/>
        <w:jc w:val="both"/>
        <w:rPr>
          <w:shd w:val="clear" w:color="auto" w:fill="FFFFFF" w:themeFill="background1"/>
        </w:rPr>
      </w:pPr>
      <w:r w:rsidRPr="00E101D6">
        <w:t>- 55 034,6 тис. грн. податку та збору на доходи фізичних осіб, що становить 135,2% уточненого плану на 1-й квартал 2021 року;</w:t>
      </w:r>
    </w:p>
    <w:p w:rsidR="00B50251" w:rsidRPr="00E101D6" w:rsidRDefault="00B50251" w:rsidP="00B50251">
      <w:pPr>
        <w:pStyle w:val="a4"/>
        <w:shd w:val="clear" w:color="auto" w:fill="FFFFFF" w:themeFill="background1"/>
        <w:ind w:left="0" w:right="-2" w:firstLine="822"/>
        <w:jc w:val="both"/>
      </w:pPr>
      <w:r w:rsidRPr="00E101D6">
        <w:t>- 16 872,8 тис. грн. податку на майно – 84,6% виконання;</w:t>
      </w:r>
    </w:p>
    <w:p w:rsidR="00B50251" w:rsidRPr="00E101D6" w:rsidRDefault="00B50251" w:rsidP="00B50251">
      <w:pPr>
        <w:pStyle w:val="a4"/>
        <w:shd w:val="clear" w:color="auto" w:fill="FFFFFF" w:themeFill="background1"/>
        <w:ind w:left="0" w:right="-2" w:firstLine="822"/>
        <w:jc w:val="both"/>
      </w:pPr>
      <w:r w:rsidRPr="00E101D6">
        <w:t>- 27 376,1 тис. грн. єдиного податку  - 117,0% виконання</w:t>
      </w:r>
      <w:r w:rsidRPr="00E101D6">
        <w:rPr>
          <w:shd w:val="clear" w:color="auto" w:fill="FFFFFF" w:themeFill="background1"/>
        </w:rPr>
        <w:t>;</w:t>
      </w:r>
    </w:p>
    <w:p w:rsidR="00B50251" w:rsidRPr="00E101D6" w:rsidRDefault="00B50251" w:rsidP="00B50251">
      <w:pPr>
        <w:pStyle w:val="a4"/>
        <w:shd w:val="clear" w:color="auto" w:fill="FFFFFF" w:themeFill="background1"/>
        <w:ind w:left="0" w:right="-2" w:firstLine="822"/>
        <w:jc w:val="both"/>
        <w:rPr>
          <w:color w:val="FF0000"/>
        </w:rPr>
      </w:pPr>
      <w:r w:rsidRPr="00E101D6">
        <w:t xml:space="preserve">- 11 828,2 тис. грн. </w:t>
      </w:r>
      <w:r w:rsidRPr="00E101D6">
        <w:rPr>
          <w:shd w:val="clear" w:color="auto" w:fill="FFFFFF" w:themeFill="background1"/>
        </w:rPr>
        <w:t xml:space="preserve">внутрішніх податків на товари та послуги (в т.ч. 6 665,8 тис. грн. акцизного податку на пальне). </w:t>
      </w:r>
      <w:bookmarkStart w:id="1" w:name="_Hlk70525412"/>
    </w:p>
    <w:bookmarkEnd w:id="1"/>
    <w:p w:rsidR="00B50251" w:rsidRPr="00E101D6" w:rsidRDefault="00B50251" w:rsidP="00B50251">
      <w:pPr>
        <w:pStyle w:val="a4"/>
        <w:ind w:left="0" w:right="-2" w:firstLine="822"/>
        <w:jc w:val="both"/>
      </w:pPr>
      <w:r w:rsidRPr="00E101D6">
        <w:t>- 1 529,5 тис. грн. плати за надання адміністративних послуг – 117,5% виконання;</w:t>
      </w:r>
    </w:p>
    <w:p w:rsidR="00B50251" w:rsidRPr="00E101D6" w:rsidRDefault="00B50251" w:rsidP="00B50251">
      <w:pPr>
        <w:pStyle w:val="a4"/>
        <w:ind w:left="0" w:right="-2" w:firstLine="822"/>
        <w:jc w:val="both"/>
      </w:pPr>
      <w:r w:rsidRPr="00E101D6">
        <w:t>- 891,5  тис. грн. інших доходів.</w:t>
      </w:r>
    </w:p>
    <w:p w:rsidR="00B50251" w:rsidRPr="00E101D6" w:rsidRDefault="00B50251" w:rsidP="00B50251">
      <w:pPr>
        <w:pStyle w:val="af6"/>
        <w:ind w:left="567"/>
        <w:jc w:val="both"/>
        <w:rPr>
          <w:rFonts w:ascii="Times New Roman" w:hAnsi="Times New Roman"/>
          <w:sz w:val="24"/>
          <w:szCs w:val="24"/>
        </w:rPr>
      </w:pPr>
      <w:r w:rsidRPr="00E101D6">
        <w:rPr>
          <w:rFonts w:ascii="Times New Roman" w:hAnsi="Times New Roman"/>
          <w:sz w:val="24"/>
          <w:szCs w:val="24"/>
        </w:rPr>
        <w:tab/>
        <w:t>Питома вага основних видів надходжень у відсотках до загального обсягу доходів  загального фонду бюджету громади (без врахування трансфертів) наступна:</w:t>
      </w:r>
    </w:p>
    <w:p w:rsidR="00B50251" w:rsidRPr="00E101D6" w:rsidRDefault="00B50251" w:rsidP="00B50251">
      <w:pPr>
        <w:pStyle w:val="af6"/>
        <w:numPr>
          <w:ilvl w:val="0"/>
          <w:numId w:val="37"/>
        </w:numPr>
        <w:spacing w:after="0" w:line="240" w:lineRule="auto"/>
        <w:jc w:val="both"/>
        <w:rPr>
          <w:rFonts w:ascii="Times New Roman" w:hAnsi="Times New Roman"/>
          <w:sz w:val="24"/>
          <w:szCs w:val="24"/>
        </w:rPr>
      </w:pPr>
      <w:r w:rsidRPr="00E101D6">
        <w:rPr>
          <w:rFonts w:ascii="Times New Roman" w:hAnsi="Times New Roman"/>
          <w:sz w:val="24"/>
          <w:szCs w:val="24"/>
        </w:rPr>
        <w:t>податок та збір на доходи фізичних осіб, що складає відповідно 48,5%;</w:t>
      </w:r>
    </w:p>
    <w:p w:rsidR="00B50251" w:rsidRPr="00E101D6" w:rsidRDefault="00B50251" w:rsidP="00B50251">
      <w:pPr>
        <w:pStyle w:val="af6"/>
        <w:numPr>
          <w:ilvl w:val="0"/>
          <w:numId w:val="37"/>
        </w:numPr>
        <w:spacing w:after="0" w:line="240" w:lineRule="auto"/>
        <w:jc w:val="both"/>
        <w:rPr>
          <w:rFonts w:ascii="Times New Roman" w:hAnsi="Times New Roman"/>
          <w:sz w:val="24"/>
          <w:szCs w:val="24"/>
        </w:rPr>
      </w:pPr>
      <w:r w:rsidRPr="00E101D6">
        <w:rPr>
          <w:rFonts w:ascii="Times New Roman" w:hAnsi="Times New Roman"/>
          <w:sz w:val="24"/>
          <w:szCs w:val="24"/>
        </w:rPr>
        <w:t>податок на майно – 14,9%;</w:t>
      </w:r>
    </w:p>
    <w:p w:rsidR="00B50251" w:rsidRPr="00E101D6" w:rsidRDefault="00B50251" w:rsidP="00B50251">
      <w:pPr>
        <w:pStyle w:val="af6"/>
        <w:numPr>
          <w:ilvl w:val="0"/>
          <w:numId w:val="37"/>
        </w:numPr>
        <w:spacing w:after="0" w:line="240" w:lineRule="auto"/>
        <w:jc w:val="both"/>
        <w:rPr>
          <w:rFonts w:ascii="Times New Roman" w:hAnsi="Times New Roman"/>
          <w:sz w:val="24"/>
          <w:szCs w:val="24"/>
        </w:rPr>
      </w:pPr>
      <w:r w:rsidRPr="00E101D6">
        <w:rPr>
          <w:rFonts w:ascii="Times New Roman" w:hAnsi="Times New Roman"/>
          <w:sz w:val="24"/>
          <w:szCs w:val="24"/>
        </w:rPr>
        <w:t>єдиний податок – 24,1%;</w:t>
      </w:r>
    </w:p>
    <w:p w:rsidR="00B50251" w:rsidRPr="00E101D6" w:rsidRDefault="00B50251" w:rsidP="00B50251">
      <w:pPr>
        <w:pStyle w:val="af6"/>
        <w:numPr>
          <w:ilvl w:val="0"/>
          <w:numId w:val="37"/>
        </w:numPr>
        <w:spacing w:after="0" w:line="240" w:lineRule="auto"/>
        <w:jc w:val="both"/>
        <w:rPr>
          <w:rFonts w:ascii="Times New Roman" w:hAnsi="Times New Roman"/>
          <w:sz w:val="24"/>
          <w:szCs w:val="24"/>
        </w:rPr>
      </w:pPr>
      <w:r w:rsidRPr="00E101D6">
        <w:rPr>
          <w:rFonts w:ascii="Times New Roman" w:hAnsi="Times New Roman"/>
          <w:sz w:val="24"/>
          <w:szCs w:val="24"/>
        </w:rPr>
        <w:lastRenderedPageBreak/>
        <w:t>внутрішні податки на товари та послуги (в т.ч. акцизний податок) – 1,3%.</w:t>
      </w:r>
    </w:p>
    <w:p w:rsidR="00B50251" w:rsidRPr="00E101D6" w:rsidRDefault="00B50251" w:rsidP="00B50251">
      <w:pPr>
        <w:pStyle w:val="af6"/>
        <w:ind w:left="0"/>
        <w:jc w:val="both"/>
        <w:rPr>
          <w:rFonts w:ascii="Times New Roman" w:hAnsi="Times New Roman"/>
          <w:sz w:val="24"/>
          <w:szCs w:val="24"/>
        </w:rPr>
      </w:pPr>
      <w:r w:rsidRPr="00E101D6">
        <w:rPr>
          <w:rFonts w:ascii="Times New Roman" w:hAnsi="Times New Roman"/>
          <w:sz w:val="24"/>
          <w:szCs w:val="24"/>
        </w:rPr>
        <w:tab/>
      </w:r>
      <w:r w:rsidRPr="00E101D6">
        <w:rPr>
          <w:rFonts w:ascii="Times New Roman" w:hAnsi="Times New Roman"/>
          <w:color w:val="000000" w:themeColor="text1"/>
          <w:sz w:val="24"/>
          <w:szCs w:val="24"/>
        </w:rPr>
        <w:t>Зокрема, структура відповідних фактичних надходжень виглядає наступним чином:</w:t>
      </w:r>
    </w:p>
    <w:p w:rsidR="00B50251" w:rsidRPr="00714CBB" w:rsidRDefault="00B50251" w:rsidP="00E101D6">
      <w:pPr>
        <w:jc w:val="both"/>
        <w:rPr>
          <w:lang w:val="uk-UA"/>
        </w:rPr>
      </w:pPr>
    </w:p>
    <w:p w:rsidR="00B50251" w:rsidRDefault="00B50251" w:rsidP="00B50251">
      <w:pPr>
        <w:jc w:val="both"/>
        <w:rPr>
          <w:highlight w:val="cyan"/>
          <w:lang w:val="uk-UA"/>
        </w:rPr>
      </w:pPr>
      <w:r>
        <w:rPr>
          <w:noProof/>
          <w:lang w:val="uk-UA" w:eastAsia="uk-UA"/>
        </w:rPr>
        <w:drawing>
          <wp:inline distT="0" distB="0" distL="0" distR="0" wp14:anchorId="54E99CDB" wp14:editId="21336257">
            <wp:extent cx="5875020" cy="5440680"/>
            <wp:effectExtent l="19050" t="0" r="49530" b="762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50251" w:rsidRDefault="00B50251" w:rsidP="00B50251">
      <w:pPr>
        <w:ind w:firstLine="822"/>
        <w:jc w:val="both"/>
        <w:rPr>
          <w:lang w:val="uk-UA"/>
        </w:rPr>
      </w:pPr>
    </w:p>
    <w:p w:rsidR="00B50251" w:rsidRDefault="00B50251" w:rsidP="00B50251">
      <w:pPr>
        <w:ind w:firstLine="822"/>
        <w:jc w:val="both"/>
        <w:rPr>
          <w:lang w:val="uk-UA"/>
        </w:rPr>
      </w:pPr>
    </w:p>
    <w:p w:rsidR="00B50251" w:rsidRDefault="00B50251" w:rsidP="00B50251">
      <w:pPr>
        <w:ind w:firstLine="822"/>
        <w:jc w:val="both"/>
        <w:rPr>
          <w:lang w:val="uk-UA"/>
        </w:rPr>
      </w:pPr>
    </w:p>
    <w:p w:rsidR="00B50251" w:rsidRPr="00641230" w:rsidRDefault="00B50251" w:rsidP="00B50251">
      <w:pPr>
        <w:ind w:firstLine="822"/>
        <w:jc w:val="both"/>
        <w:rPr>
          <w:lang w:val="uk-UA"/>
        </w:rPr>
      </w:pPr>
      <w:r w:rsidRPr="00641230">
        <w:rPr>
          <w:lang w:val="uk-UA"/>
        </w:rPr>
        <w:t xml:space="preserve">До загального фонду місцевого бюджету (включаючи міжбюджетні трансферти) за 1-й квартал 2021 року надійшло 154 075,8 тис. грн., </w:t>
      </w:r>
      <w:bookmarkStart w:id="2" w:name="_Hlk70677807"/>
      <w:r w:rsidRPr="00641230">
        <w:rPr>
          <w:lang w:val="uk-UA"/>
        </w:rPr>
        <w:t xml:space="preserve">що на 51 138,4 тис. грн. більше в порівнянні з аналогічним періодом </w:t>
      </w:r>
      <w:r w:rsidRPr="00641230">
        <w:t>20</w:t>
      </w:r>
      <w:r w:rsidRPr="00641230">
        <w:rPr>
          <w:lang w:val="uk-UA"/>
        </w:rPr>
        <w:t xml:space="preserve">20 року. </w:t>
      </w:r>
      <w:bookmarkEnd w:id="2"/>
    </w:p>
    <w:p w:rsidR="00B50251" w:rsidRPr="00641230" w:rsidRDefault="00B50251" w:rsidP="00B50251">
      <w:pPr>
        <w:ind w:firstLine="822"/>
        <w:jc w:val="both"/>
        <w:rPr>
          <w:lang w:val="uk-UA"/>
        </w:rPr>
      </w:pPr>
      <w:r w:rsidRPr="00641230">
        <w:rPr>
          <w:lang w:val="uk-UA"/>
        </w:rPr>
        <w:t>Офіційних трансфертів за 3 місяці 2021 року отримано в розмірі 40 543,1 тис. грн.</w:t>
      </w:r>
    </w:p>
    <w:p w:rsidR="00B50251" w:rsidRPr="00641230" w:rsidRDefault="00B50251" w:rsidP="00B50251">
      <w:pPr>
        <w:ind w:firstLine="822"/>
        <w:jc w:val="both"/>
        <w:rPr>
          <w:lang w:val="uk-UA"/>
        </w:rPr>
      </w:pPr>
      <w:r w:rsidRPr="00641230">
        <w:rPr>
          <w:lang w:val="uk-UA"/>
        </w:rPr>
        <w:t>З врахуванням офіційних трансфертів загальний фонд місцевого бюджету Бучанської міської</w:t>
      </w:r>
      <w:r w:rsidR="00592372">
        <w:rPr>
          <w:lang w:val="uk-UA"/>
        </w:rPr>
        <w:t xml:space="preserve"> </w:t>
      </w:r>
      <w:r w:rsidRPr="00641230">
        <w:rPr>
          <w:lang w:val="uk-UA"/>
        </w:rPr>
        <w:t xml:space="preserve">територіальної громади за 1 квартал 2021 року виконано на 117,0%, або на 22 440,2 тис. грн. більше проти планових призначень. </w:t>
      </w:r>
    </w:p>
    <w:p w:rsidR="00E101D6" w:rsidRDefault="00E101D6" w:rsidP="00DE6F01">
      <w:pPr>
        <w:rPr>
          <w:b/>
          <w:bCs/>
          <w:u w:val="single"/>
          <w:lang w:val="uk-UA"/>
        </w:rPr>
      </w:pPr>
      <w:bookmarkStart w:id="3" w:name="_Hlk70492652"/>
    </w:p>
    <w:p w:rsidR="00B50251" w:rsidRPr="00641230" w:rsidRDefault="00B50251" w:rsidP="00B50251">
      <w:pPr>
        <w:jc w:val="center"/>
        <w:rPr>
          <w:b/>
          <w:u w:val="single"/>
          <w:lang w:val="uk-UA"/>
        </w:rPr>
      </w:pPr>
      <w:r w:rsidRPr="00641230">
        <w:rPr>
          <w:b/>
          <w:bCs/>
          <w:u w:val="single"/>
          <w:lang w:val="uk-UA"/>
        </w:rPr>
        <w:t>Податок з доходів фізичних осіб</w:t>
      </w:r>
      <w:r w:rsidRPr="00641230">
        <w:rPr>
          <w:b/>
          <w:u w:val="single"/>
        </w:rPr>
        <w:t xml:space="preserve"> (11010</w:t>
      </w:r>
      <w:r>
        <w:rPr>
          <w:b/>
          <w:u w:val="single"/>
          <w:lang w:val="uk-UA"/>
        </w:rPr>
        <w:t>0</w:t>
      </w:r>
      <w:r w:rsidRPr="00641230">
        <w:rPr>
          <w:b/>
          <w:u w:val="single"/>
        </w:rPr>
        <w:t>0)</w:t>
      </w:r>
    </w:p>
    <w:bookmarkEnd w:id="3"/>
    <w:p w:rsidR="00B50251" w:rsidRDefault="00B50251" w:rsidP="00B50251">
      <w:pPr>
        <w:jc w:val="both"/>
        <w:rPr>
          <w:lang w:val="uk-UA"/>
        </w:rPr>
      </w:pPr>
    </w:p>
    <w:p w:rsidR="00B50251" w:rsidRPr="00E101D6" w:rsidRDefault="00B50251" w:rsidP="00B50251">
      <w:pPr>
        <w:ind w:firstLine="709"/>
        <w:jc w:val="both"/>
        <w:rPr>
          <w:lang w:val="uk-UA"/>
        </w:rPr>
      </w:pPr>
      <w:r w:rsidRPr="00E101D6">
        <w:rPr>
          <w:lang w:val="uk-UA"/>
        </w:rPr>
        <w:t xml:space="preserve">За 1-й квартал 2021 року податку та збору на доходи фізичних осіб надійшло в сумі 55 034,6 тис. грн., що на 14 316,8 тис. грн. більше проти плану по цьому виду податку і складає 135,2% виконання та на 27 738,42 тис. грн. більше, порівнюючи з 1-м кварталом </w:t>
      </w:r>
      <w:r w:rsidRPr="00E101D6">
        <w:t>20</w:t>
      </w:r>
      <w:r w:rsidRPr="00E101D6">
        <w:rPr>
          <w:lang w:val="uk-UA"/>
        </w:rPr>
        <w:t xml:space="preserve">20 року. Темп росту складає 201,6 %. </w:t>
      </w:r>
    </w:p>
    <w:p w:rsidR="00B50251" w:rsidRPr="00E101D6" w:rsidRDefault="00B50251" w:rsidP="00B50251">
      <w:pPr>
        <w:ind w:firstLine="709"/>
        <w:jc w:val="both"/>
        <w:rPr>
          <w:lang w:val="uk-UA"/>
        </w:rPr>
      </w:pPr>
      <w:r w:rsidRPr="00E101D6">
        <w:rPr>
          <w:lang w:val="uk-UA"/>
        </w:rPr>
        <w:t xml:space="preserve">Водночас з перевиконанням планових показників зі сплати податку з доходів фізичних осіб, значний вплив на надходження податку спостерігався від зниження середньомісячної заробітної плати спричиненого запровадженням карантинних заходів з метою боротьби та </w:t>
      </w:r>
      <w:r w:rsidRPr="00E101D6">
        <w:rPr>
          <w:lang w:val="uk-UA"/>
        </w:rPr>
        <w:lastRenderedPageBreak/>
        <w:t>протидії поширення коронавірусної хвороби (</w:t>
      </w:r>
      <w:r w:rsidRPr="00E101D6">
        <w:rPr>
          <w:lang w:val="en-US"/>
        </w:rPr>
        <w:t>COVID</w:t>
      </w:r>
      <w:r w:rsidRPr="00E101D6">
        <w:rPr>
          <w:lang w:val="uk-UA"/>
        </w:rPr>
        <w:t xml:space="preserve">19) у звітному періоді 2021 року. Зокрема, спостерігається значний вплив дії Закону України «Про внесення змін до деяких законодавчих актів України, спрямованих на забезпечення додаткових соціальних та економічних гарантій у зв’язку з поширенням коронавірусної хвороби (COVID-19)», який спрямований на підтримку платників податків під час карантину, а також через запровадження карантинних заходів відповідно до постанов Кабінету Міністрів України. Результатом цих чинників стали повна (або часткова) зупинка роботи деяких підприємств, падіння доходів юридичних осіб та фізичних осіб-підприємців у період карантину та ін. </w:t>
      </w:r>
    </w:p>
    <w:p w:rsidR="00B50251" w:rsidRPr="00E101D6" w:rsidRDefault="00B50251" w:rsidP="00B50251">
      <w:pPr>
        <w:ind w:firstLine="709"/>
        <w:jc w:val="both"/>
        <w:rPr>
          <w:lang w:val="uk-UA"/>
        </w:rPr>
      </w:pPr>
      <w:r w:rsidRPr="00E101D6">
        <w:rPr>
          <w:lang w:val="uk-UA"/>
        </w:rPr>
        <w:t>Але є і позитивні фактори, що зумовлені наявністю найпотужніших підприємств, які розташовані на території Бучанської міської територіальної громади, зареєстровані як платники податку ПДФО за місцем здійснення діяльності та сплатили податки до бюджету громади за результатами 1-го кварталу 2021 року. Серед них : ДП «АНТОНОВ», ПП «Автомагістраль», ПрАТ "Нова Лінія", ПП "Деліція", ТОВ "НОВУС Україна", ТОВ "СІЛЬПО-ФУД", ТОВ HВП МАДЕК, ТОВ "ЮТЕМ-Інжиніринг", ТОВ «Комплекс Агромарс», ТОВ "Керама Марацці Україна", ПКПП "Теплокомунсервiс", ПІІ «МакДональдз Юкрейн ЛТД», ТОВ «Фора», ТОВ "Техпромсервiс ЛТД, ТОВ "АТБ-МАРКЕТ".</w:t>
      </w:r>
    </w:p>
    <w:p w:rsidR="00B50251" w:rsidRPr="00641230" w:rsidRDefault="00B50251" w:rsidP="00B50251">
      <w:pPr>
        <w:ind w:firstLine="709"/>
        <w:jc w:val="both"/>
        <w:rPr>
          <w:lang w:val="uk-UA"/>
        </w:rPr>
      </w:pPr>
    </w:p>
    <w:p w:rsidR="00B50251" w:rsidRPr="007C2593" w:rsidRDefault="00B50251" w:rsidP="00B50251">
      <w:pPr>
        <w:jc w:val="right"/>
        <w:rPr>
          <w:b/>
          <w:bCs/>
          <w:u w:val="single"/>
          <w:lang w:val="uk-UA"/>
        </w:rPr>
      </w:pPr>
      <w:r w:rsidRPr="007C2593">
        <w:rPr>
          <w:b/>
          <w:bCs/>
          <w:u w:val="single"/>
          <w:lang w:val="uk-UA"/>
        </w:rPr>
        <w:t>Таблиця 1</w:t>
      </w:r>
    </w:p>
    <w:tbl>
      <w:tblPr>
        <w:tblW w:w="9615" w:type="dxa"/>
        <w:tblInd w:w="173" w:type="dxa"/>
        <w:tblLayout w:type="fixed"/>
        <w:tblLook w:val="00A0" w:firstRow="1" w:lastRow="0" w:firstColumn="1" w:lastColumn="0" w:noHBand="0" w:noVBand="0"/>
      </w:tblPr>
      <w:tblGrid>
        <w:gridCol w:w="1675"/>
        <w:gridCol w:w="5954"/>
        <w:gridCol w:w="993"/>
        <w:gridCol w:w="993"/>
      </w:tblGrid>
      <w:tr w:rsidR="00B50251" w:rsidRPr="007C2593" w:rsidTr="00DD3F5A">
        <w:trPr>
          <w:trHeight w:val="375"/>
        </w:trPr>
        <w:tc>
          <w:tcPr>
            <w:tcW w:w="1674" w:type="dxa"/>
          </w:tcPr>
          <w:p w:rsidR="00B50251" w:rsidRPr="007C2593" w:rsidRDefault="00B50251" w:rsidP="00DD3F5A">
            <w:pPr>
              <w:jc w:val="center"/>
              <w:rPr>
                <w:b/>
                <w:bCs/>
                <w:u w:val="single"/>
                <w:lang w:val="uk-UA"/>
              </w:rPr>
            </w:pPr>
            <w:bookmarkStart w:id="4" w:name="RANGE!A1:E34"/>
            <w:bookmarkEnd w:id="4"/>
          </w:p>
        </w:tc>
        <w:tc>
          <w:tcPr>
            <w:tcW w:w="5950" w:type="dxa"/>
            <w:tcMar>
              <w:top w:w="0" w:type="dxa"/>
              <w:left w:w="28" w:type="dxa"/>
              <w:bottom w:w="0" w:type="dxa"/>
              <w:right w:w="28" w:type="dxa"/>
            </w:tcMar>
            <w:vAlign w:val="center"/>
            <w:hideMark/>
          </w:tcPr>
          <w:p w:rsidR="00B50251" w:rsidRDefault="00B50251" w:rsidP="00DD3F5A">
            <w:pPr>
              <w:jc w:val="center"/>
              <w:rPr>
                <w:b/>
                <w:bCs/>
                <w:u w:val="single"/>
                <w:lang w:val="uk-UA"/>
              </w:rPr>
            </w:pPr>
            <w:r w:rsidRPr="007C2593">
              <w:rPr>
                <w:b/>
                <w:bCs/>
                <w:u w:val="single"/>
                <w:lang w:val="uk-UA"/>
              </w:rPr>
              <w:t xml:space="preserve">Надходження від найбільших платників ПДФО </w:t>
            </w:r>
          </w:p>
          <w:p w:rsidR="00B50251" w:rsidRPr="007C2593" w:rsidRDefault="00B50251" w:rsidP="00DD3F5A">
            <w:pPr>
              <w:jc w:val="center"/>
              <w:rPr>
                <w:b/>
                <w:bCs/>
                <w:u w:val="single"/>
                <w:lang w:val="uk-UA"/>
              </w:rPr>
            </w:pPr>
            <w:r w:rsidRPr="007C2593">
              <w:rPr>
                <w:b/>
                <w:bCs/>
                <w:u w:val="single"/>
                <w:lang w:val="uk-UA"/>
              </w:rPr>
              <w:t>за 1-й квартал 2021 рік</w:t>
            </w:r>
          </w:p>
        </w:tc>
        <w:tc>
          <w:tcPr>
            <w:tcW w:w="992" w:type="dxa"/>
          </w:tcPr>
          <w:p w:rsidR="00B50251" w:rsidRPr="007C2593" w:rsidRDefault="00B50251" w:rsidP="00DD3F5A">
            <w:pPr>
              <w:jc w:val="center"/>
              <w:rPr>
                <w:b/>
                <w:bCs/>
                <w:u w:val="single"/>
                <w:lang w:val="uk-UA"/>
              </w:rPr>
            </w:pPr>
          </w:p>
        </w:tc>
        <w:tc>
          <w:tcPr>
            <w:tcW w:w="992" w:type="dxa"/>
          </w:tcPr>
          <w:p w:rsidR="00B50251" w:rsidRPr="007C2593" w:rsidRDefault="00B50251" w:rsidP="00DD3F5A">
            <w:pPr>
              <w:jc w:val="center"/>
              <w:rPr>
                <w:b/>
                <w:bCs/>
                <w:u w:val="single"/>
                <w:lang w:val="uk-UA"/>
              </w:rPr>
            </w:pPr>
          </w:p>
        </w:tc>
      </w:tr>
    </w:tbl>
    <w:p w:rsidR="00B50251" w:rsidRPr="004864A5" w:rsidRDefault="00B50251" w:rsidP="00B50251">
      <w:pPr>
        <w:jc w:val="right"/>
        <w:rPr>
          <w:b/>
          <w:lang w:val="uk-UA"/>
        </w:rPr>
      </w:pPr>
      <w:r w:rsidRPr="004864A5">
        <w:rPr>
          <w:b/>
          <w:bCs/>
        </w:rPr>
        <w:t>тис. грн.</w:t>
      </w:r>
    </w:p>
    <w:tbl>
      <w:tblPr>
        <w:tblW w:w="9498" w:type="dxa"/>
        <w:tblInd w:w="-114" w:type="dxa"/>
        <w:tblLayout w:type="fixed"/>
        <w:tblLook w:val="00A0" w:firstRow="1" w:lastRow="0" w:firstColumn="1" w:lastColumn="0" w:noHBand="0" w:noVBand="0"/>
      </w:tblPr>
      <w:tblGrid>
        <w:gridCol w:w="426"/>
        <w:gridCol w:w="3685"/>
        <w:gridCol w:w="1276"/>
        <w:gridCol w:w="1559"/>
        <w:gridCol w:w="1276"/>
        <w:gridCol w:w="1276"/>
      </w:tblGrid>
      <w:tr w:rsidR="00B50251" w:rsidRPr="00BD2FE7" w:rsidTr="00DD3F5A">
        <w:trPr>
          <w:trHeight w:val="57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50251" w:rsidRPr="00BD2FE7" w:rsidRDefault="00B50251" w:rsidP="00DD3F5A">
            <w:pPr>
              <w:jc w:val="center"/>
              <w:rPr>
                <w:b/>
                <w:bCs/>
                <w:sz w:val="20"/>
                <w:szCs w:val="20"/>
                <w:lang w:val="uk-UA"/>
              </w:rPr>
            </w:pPr>
            <w:r w:rsidRPr="00BD2FE7">
              <w:rPr>
                <w:b/>
                <w:bCs/>
                <w:sz w:val="20"/>
                <w:szCs w:val="20"/>
                <w:lang w:val="uk-UA"/>
              </w:rPr>
              <w:t>№ п/п</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BD2FE7" w:rsidRDefault="00B50251" w:rsidP="00DD3F5A">
            <w:pPr>
              <w:jc w:val="center"/>
              <w:rPr>
                <w:b/>
                <w:bCs/>
                <w:sz w:val="20"/>
                <w:szCs w:val="20"/>
                <w:lang w:val="uk-UA"/>
              </w:rPr>
            </w:pPr>
            <w:r w:rsidRPr="00BD2FE7">
              <w:rPr>
                <w:b/>
                <w:bCs/>
                <w:sz w:val="20"/>
                <w:szCs w:val="20"/>
                <w:lang w:val="uk-UA"/>
              </w:rPr>
              <w:t>Платник</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Default="00B50251" w:rsidP="00DD3F5A">
            <w:pPr>
              <w:jc w:val="center"/>
              <w:rPr>
                <w:b/>
                <w:bCs/>
                <w:sz w:val="20"/>
                <w:szCs w:val="20"/>
                <w:lang w:val="uk-UA"/>
              </w:rPr>
            </w:pPr>
            <w:r w:rsidRPr="00BD2FE7">
              <w:rPr>
                <w:b/>
                <w:bCs/>
                <w:sz w:val="20"/>
                <w:szCs w:val="20"/>
                <w:lang w:val="uk-UA"/>
              </w:rPr>
              <w:t>В</w:t>
            </w:r>
            <w:r>
              <w:rPr>
                <w:b/>
                <w:bCs/>
                <w:sz w:val="20"/>
                <w:szCs w:val="20"/>
                <w:lang w:val="uk-UA"/>
              </w:rPr>
              <w:t>СЬОГО</w:t>
            </w:r>
          </w:p>
          <w:p w:rsidR="00B50251" w:rsidRPr="00BD2FE7" w:rsidRDefault="00B50251" w:rsidP="00DD3F5A">
            <w:pPr>
              <w:jc w:val="center"/>
              <w:rPr>
                <w:b/>
                <w:bCs/>
                <w:sz w:val="20"/>
                <w:szCs w:val="20"/>
                <w:lang w:val="uk-UA"/>
              </w:rPr>
            </w:pPr>
            <w:r w:rsidRPr="00BD2FE7">
              <w:rPr>
                <w:b/>
                <w:bCs/>
                <w:sz w:val="20"/>
                <w:szCs w:val="20"/>
                <w:lang w:val="uk-UA"/>
              </w:rPr>
              <w:t xml:space="preserve"> по платнику</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BD2FE7" w:rsidRDefault="00B50251" w:rsidP="00DD3F5A">
            <w:pPr>
              <w:jc w:val="center"/>
              <w:rPr>
                <w:b/>
                <w:bCs/>
                <w:sz w:val="20"/>
                <w:szCs w:val="20"/>
                <w:lang w:val="uk-UA"/>
              </w:rPr>
            </w:pPr>
            <w:r w:rsidRPr="00BD2FE7">
              <w:rPr>
                <w:b/>
                <w:bCs/>
                <w:sz w:val="20"/>
                <w:szCs w:val="20"/>
                <w:lang w:val="uk-UA"/>
              </w:rPr>
              <w:t>В тому числі ПДФО (60%)</w:t>
            </w:r>
            <w:r>
              <w:rPr>
                <w:b/>
                <w:bCs/>
                <w:sz w:val="20"/>
                <w:szCs w:val="20"/>
                <w:lang w:val="uk-UA"/>
              </w:rPr>
              <w:t xml:space="preserve"> за 1-й квартал 2021 року</w:t>
            </w:r>
          </w:p>
        </w:tc>
        <w:tc>
          <w:tcPr>
            <w:tcW w:w="1276" w:type="dxa"/>
            <w:tcBorders>
              <w:top w:val="single" w:sz="4" w:space="0" w:color="auto"/>
              <w:left w:val="nil"/>
              <w:bottom w:val="single" w:sz="4" w:space="0" w:color="auto"/>
              <w:right w:val="single" w:sz="4" w:space="0" w:color="auto"/>
            </w:tcBorders>
            <w:vAlign w:val="center"/>
            <w:hideMark/>
          </w:tcPr>
          <w:p w:rsidR="00B50251" w:rsidRDefault="00B50251" w:rsidP="00DD3F5A">
            <w:pPr>
              <w:jc w:val="center"/>
              <w:rPr>
                <w:b/>
                <w:bCs/>
                <w:sz w:val="20"/>
                <w:szCs w:val="20"/>
                <w:lang w:val="uk-UA"/>
              </w:rPr>
            </w:pPr>
            <w:r w:rsidRPr="00BD2FE7">
              <w:rPr>
                <w:b/>
                <w:bCs/>
                <w:sz w:val="20"/>
                <w:szCs w:val="20"/>
                <w:lang w:val="uk-UA"/>
              </w:rPr>
              <w:t xml:space="preserve">ПДФО  за 1-й квартал </w:t>
            </w:r>
          </w:p>
          <w:p w:rsidR="00B50251" w:rsidRPr="00BD2FE7" w:rsidRDefault="00B50251" w:rsidP="00DD3F5A">
            <w:pPr>
              <w:jc w:val="center"/>
              <w:rPr>
                <w:b/>
                <w:bCs/>
                <w:sz w:val="20"/>
                <w:szCs w:val="20"/>
                <w:lang w:val="uk-UA"/>
              </w:rPr>
            </w:pPr>
            <w:r w:rsidRPr="00BD2FE7">
              <w:rPr>
                <w:b/>
                <w:bCs/>
                <w:sz w:val="20"/>
                <w:szCs w:val="20"/>
                <w:lang w:val="uk-UA"/>
              </w:rPr>
              <w:t>2020</w:t>
            </w:r>
            <w:r>
              <w:rPr>
                <w:b/>
                <w:bCs/>
                <w:sz w:val="20"/>
                <w:szCs w:val="20"/>
                <w:lang w:val="uk-UA"/>
              </w:rPr>
              <w:t xml:space="preserve"> </w:t>
            </w:r>
            <w:r w:rsidRPr="00BD2FE7">
              <w:rPr>
                <w:b/>
                <w:bCs/>
                <w:sz w:val="20"/>
                <w:szCs w:val="20"/>
                <w:lang w:val="uk-UA"/>
              </w:rPr>
              <w:t>р</w:t>
            </w:r>
            <w:r>
              <w:rPr>
                <w:b/>
                <w:bCs/>
                <w:sz w:val="20"/>
                <w:szCs w:val="20"/>
                <w:lang w:val="uk-UA"/>
              </w:rPr>
              <w:t>оку</w:t>
            </w:r>
          </w:p>
        </w:tc>
        <w:tc>
          <w:tcPr>
            <w:tcW w:w="1276" w:type="dxa"/>
            <w:tcBorders>
              <w:top w:val="single" w:sz="4" w:space="0" w:color="auto"/>
              <w:left w:val="nil"/>
              <w:bottom w:val="single" w:sz="4" w:space="0" w:color="auto"/>
              <w:right w:val="single" w:sz="4" w:space="0" w:color="auto"/>
            </w:tcBorders>
            <w:vAlign w:val="center"/>
            <w:hideMark/>
          </w:tcPr>
          <w:p w:rsidR="00B50251" w:rsidRPr="00BD2FE7" w:rsidRDefault="00B50251" w:rsidP="00DD3F5A">
            <w:pPr>
              <w:jc w:val="center"/>
              <w:rPr>
                <w:b/>
                <w:bCs/>
                <w:sz w:val="20"/>
                <w:szCs w:val="20"/>
                <w:lang w:val="uk-UA"/>
              </w:rPr>
            </w:pPr>
            <w:r w:rsidRPr="00BD2FE7">
              <w:rPr>
                <w:b/>
                <w:bCs/>
                <w:sz w:val="20"/>
                <w:szCs w:val="20"/>
                <w:lang w:val="uk-UA"/>
              </w:rPr>
              <w:t>Відхилення</w:t>
            </w:r>
          </w:p>
        </w:tc>
      </w:tr>
      <w:tr w:rsidR="00B50251" w:rsidRPr="007C2593" w:rsidTr="00DD3F5A">
        <w:trPr>
          <w:trHeight w:val="285"/>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50251" w:rsidRPr="007C2593" w:rsidRDefault="00B50251" w:rsidP="00DD3F5A">
            <w:pPr>
              <w:jc w:val="center"/>
              <w:rPr>
                <w:b/>
                <w:bCs/>
                <w:lang w:val="uk-UA"/>
              </w:rPr>
            </w:pPr>
            <w:r w:rsidRPr="007C2593">
              <w:rPr>
                <w:b/>
                <w:bCs/>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7C2593" w:rsidRDefault="00B50251" w:rsidP="00DD3F5A">
            <w:pPr>
              <w:jc w:val="center"/>
              <w:rPr>
                <w:b/>
                <w:bCs/>
                <w:lang w:val="uk-UA"/>
              </w:rPr>
            </w:pPr>
            <w:r w:rsidRPr="007C2593">
              <w:rPr>
                <w:b/>
                <w:bCs/>
                <w:lang w:val="uk-UA"/>
              </w:rPr>
              <w:t>2</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7C2593" w:rsidRDefault="00B50251" w:rsidP="00DD3F5A">
            <w:pPr>
              <w:jc w:val="center"/>
              <w:rPr>
                <w:b/>
                <w:bCs/>
                <w:lang w:val="uk-UA"/>
              </w:rPr>
            </w:pPr>
            <w:r>
              <w:rPr>
                <w:b/>
                <w:bCs/>
                <w:lang w:val="uk-UA"/>
              </w:rPr>
              <w:t>3</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7C2593" w:rsidRDefault="00B50251" w:rsidP="00DD3F5A">
            <w:pPr>
              <w:jc w:val="center"/>
              <w:rPr>
                <w:b/>
                <w:bCs/>
                <w:lang w:val="uk-UA"/>
              </w:rPr>
            </w:pPr>
            <w:r>
              <w:rPr>
                <w:b/>
                <w:bCs/>
                <w:lang w:val="uk-UA"/>
              </w:rPr>
              <w:t>4</w:t>
            </w:r>
          </w:p>
        </w:tc>
        <w:tc>
          <w:tcPr>
            <w:tcW w:w="1276" w:type="dxa"/>
            <w:tcBorders>
              <w:top w:val="single" w:sz="4" w:space="0" w:color="auto"/>
              <w:left w:val="nil"/>
              <w:bottom w:val="single" w:sz="4" w:space="0" w:color="auto"/>
              <w:right w:val="single" w:sz="4" w:space="0" w:color="auto"/>
            </w:tcBorders>
          </w:tcPr>
          <w:p w:rsidR="00B50251" w:rsidRPr="007C2593" w:rsidRDefault="00B50251" w:rsidP="00DD3F5A">
            <w:pPr>
              <w:jc w:val="center"/>
              <w:rPr>
                <w:b/>
                <w:bCs/>
                <w:lang w:val="uk-UA"/>
              </w:rPr>
            </w:pPr>
            <w:r>
              <w:rPr>
                <w:b/>
                <w:bCs/>
                <w:lang w:val="uk-UA"/>
              </w:rPr>
              <w:t>5</w:t>
            </w:r>
          </w:p>
        </w:tc>
        <w:tc>
          <w:tcPr>
            <w:tcW w:w="1276" w:type="dxa"/>
            <w:tcBorders>
              <w:top w:val="single" w:sz="4" w:space="0" w:color="auto"/>
              <w:left w:val="nil"/>
              <w:bottom w:val="single" w:sz="4" w:space="0" w:color="auto"/>
              <w:right w:val="single" w:sz="4" w:space="0" w:color="auto"/>
            </w:tcBorders>
            <w:vAlign w:val="center"/>
          </w:tcPr>
          <w:p w:rsidR="00B50251" w:rsidRPr="007C2593" w:rsidRDefault="00B50251" w:rsidP="00DD3F5A">
            <w:pPr>
              <w:jc w:val="center"/>
              <w:rPr>
                <w:b/>
                <w:bCs/>
                <w:lang w:val="uk-UA"/>
              </w:rPr>
            </w:pPr>
            <w:r>
              <w:rPr>
                <w:b/>
                <w:bCs/>
                <w:lang w:val="uk-UA"/>
              </w:rPr>
              <w:t>6</w:t>
            </w:r>
          </w:p>
        </w:tc>
      </w:tr>
      <w:tr w:rsidR="00B50251" w:rsidRPr="00341292" w:rsidTr="00DD3F5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jc w:val="center"/>
              <w:rPr>
                <w:lang w:val="uk-UA"/>
              </w:rPr>
            </w:pPr>
            <w:r w:rsidRPr="00341292">
              <w:rPr>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ДП «АНТОНОВ»</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12 988,5</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12 885,6</w:t>
            </w:r>
          </w:p>
        </w:tc>
        <w:tc>
          <w:tcPr>
            <w:tcW w:w="1276" w:type="dxa"/>
            <w:tcBorders>
              <w:top w:val="single" w:sz="4" w:space="0" w:color="auto"/>
              <w:left w:val="nil"/>
              <w:bottom w:val="single" w:sz="4" w:space="0" w:color="auto"/>
              <w:right w:val="single" w:sz="4" w:space="0" w:color="auto"/>
            </w:tcBorders>
            <w:vAlign w:val="center"/>
          </w:tcPr>
          <w:p w:rsidR="00B50251" w:rsidRPr="00341292" w:rsidRDefault="00B50251" w:rsidP="00DD3F5A">
            <w:pPr>
              <w:rPr>
                <w:lang w:val="uk-UA"/>
              </w:rPr>
            </w:pPr>
            <w:r w:rsidRPr="00341292">
              <w:rPr>
                <w:lang w:val="uk-UA"/>
              </w:rPr>
              <w:t>0,0</w:t>
            </w:r>
          </w:p>
        </w:tc>
        <w:tc>
          <w:tcPr>
            <w:tcW w:w="1276" w:type="dxa"/>
            <w:tcBorders>
              <w:top w:val="single" w:sz="4" w:space="0" w:color="auto"/>
              <w:left w:val="nil"/>
              <w:bottom w:val="single" w:sz="4" w:space="0" w:color="auto"/>
              <w:right w:val="single" w:sz="4" w:space="0" w:color="auto"/>
            </w:tcBorders>
            <w:vAlign w:val="center"/>
          </w:tcPr>
          <w:p w:rsidR="00B50251" w:rsidRPr="00341292" w:rsidRDefault="00B50251" w:rsidP="00DD3F5A">
            <w:pPr>
              <w:rPr>
                <w:lang w:val="uk-UA"/>
              </w:rPr>
            </w:pPr>
            <w:r w:rsidRPr="00341292">
              <w:rPr>
                <w:lang w:val="uk-UA"/>
              </w:rPr>
              <w:t>+12 885,6</w:t>
            </w:r>
          </w:p>
        </w:tc>
      </w:tr>
      <w:tr w:rsidR="00B50251" w:rsidRPr="00341292" w:rsidTr="00DD3F5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jc w:val="center"/>
              <w:rPr>
                <w:lang w:val="uk-UA"/>
              </w:rPr>
            </w:pPr>
            <w:r w:rsidRPr="00341292">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ПП «Автомагістраль»</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5 333,0</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5 241,5</w:t>
            </w:r>
          </w:p>
        </w:tc>
        <w:tc>
          <w:tcPr>
            <w:tcW w:w="1276" w:type="dxa"/>
            <w:tcBorders>
              <w:top w:val="single" w:sz="4" w:space="0" w:color="auto"/>
              <w:left w:val="nil"/>
              <w:bottom w:val="single" w:sz="4" w:space="0" w:color="auto"/>
              <w:right w:val="single" w:sz="4" w:space="0" w:color="auto"/>
            </w:tcBorders>
            <w:vAlign w:val="center"/>
          </w:tcPr>
          <w:p w:rsidR="00B50251" w:rsidRPr="00341292" w:rsidRDefault="00B50251" w:rsidP="00DD3F5A">
            <w:pPr>
              <w:rPr>
                <w:lang w:val="uk-UA"/>
              </w:rPr>
            </w:pPr>
            <w:r w:rsidRPr="00341292">
              <w:rPr>
                <w:lang w:val="uk-UA"/>
              </w:rPr>
              <w:t>0,0</w:t>
            </w:r>
          </w:p>
        </w:tc>
        <w:tc>
          <w:tcPr>
            <w:tcW w:w="1276" w:type="dxa"/>
            <w:tcBorders>
              <w:top w:val="single" w:sz="4" w:space="0" w:color="auto"/>
              <w:left w:val="nil"/>
              <w:bottom w:val="single" w:sz="4" w:space="0" w:color="auto"/>
              <w:right w:val="single" w:sz="4" w:space="0" w:color="auto"/>
            </w:tcBorders>
            <w:vAlign w:val="center"/>
          </w:tcPr>
          <w:p w:rsidR="00B50251" w:rsidRPr="00341292" w:rsidRDefault="00B50251" w:rsidP="00DD3F5A">
            <w:pPr>
              <w:rPr>
                <w:lang w:val="uk-UA"/>
              </w:rPr>
            </w:pPr>
            <w:r w:rsidRPr="00341292">
              <w:rPr>
                <w:lang w:val="uk-UA"/>
              </w:rPr>
              <w:t>+5 541,5</w:t>
            </w:r>
          </w:p>
        </w:tc>
      </w:tr>
      <w:tr w:rsidR="00B50251" w:rsidRPr="00341292" w:rsidTr="00DD3F5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jc w:val="center"/>
              <w:rPr>
                <w:lang w:val="uk-UA"/>
              </w:rPr>
            </w:pPr>
            <w:r w:rsidRPr="00341292">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ПрАТ «Нова Лінія»</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1 595,5</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1 476,0</w:t>
            </w:r>
          </w:p>
        </w:tc>
        <w:tc>
          <w:tcPr>
            <w:tcW w:w="1276" w:type="dxa"/>
            <w:tcBorders>
              <w:top w:val="single" w:sz="4" w:space="0" w:color="auto"/>
              <w:left w:val="nil"/>
              <w:bottom w:val="single" w:sz="4" w:space="0" w:color="auto"/>
              <w:right w:val="single" w:sz="4" w:space="0" w:color="auto"/>
            </w:tcBorders>
            <w:vAlign w:val="center"/>
            <w:hideMark/>
          </w:tcPr>
          <w:p w:rsidR="00B50251" w:rsidRPr="00341292" w:rsidRDefault="00B50251" w:rsidP="00DD3F5A">
            <w:pPr>
              <w:rPr>
                <w:lang w:val="uk-UA"/>
              </w:rPr>
            </w:pPr>
            <w:r w:rsidRPr="00341292">
              <w:rPr>
                <w:lang w:val="uk-UA"/>
              </w:rPr>
              <w:t>1 546,4</w:t>
            </w:r>
          </w:p>
        </w:tc>
        <w:tc>
          <w:tcPr>
            <w:tcW w:w="1276" w:type="dxa"/>
            <w:tcBorders>
              <w:top w:val="single" w:sz="4" w:space="0" w:color="auto"/>
              <w:left w:val="nil"/>
              <w:bottom w:val="single" w:sz="4" w:space="0" w:color="auto"/>
              <w:right w:val="single" w:sz="4" w:space="0" w:color="auto"/>
            </w:tcBorders>
            <w:vAlign w:val="center"/>
            <w:hideMark/>
          </w:tcPr>
          <w:p w:rsidR="00B50251" w:rsidRPr="00341292" w:rsidRDefault="00B50251" w:rsidP="00DD3F5A">
            <w:pPr>
              <w:rPr>
                <w:lang w:val="uk-UA"/>
              </w:rPr>
            </w:pPr>
            <w:r w:rsidRPr="00341292">
              <w:rPr>
                <w:lang w:val="uk-UA"/>
              </w:rPr>
              <w:t>-70,4</w:t>
            </w:r>
          </w:p>
        </w:tc>
      </w:tr>
      <w:tr w:rsidR="00B50251" w:rsidRPr="00341292" w:rsidTr="00DD3F5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jc w:val="center"/>
              <w:rPr>
                <w:lang w:val="uk-UA"/>
              </w:rPr>
            </w:pPr>
            <w:r w:rsidRPr="00341292">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 xml:space="preserve">ПП «Деліція» </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1 426,2</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1 425,5</w:t>
            </w:r>
          </w:p>
        </w:tc>
        <w:tc>
          <w:tcPr>
            <w:tcW w:w="1276" w:type="dxa"/>
            <w:tcBorders>
              <w:top w:val="single" w:sz="4" w:space="0" w:color="auto"/>
              <w:left w:val="nil"/>
              <w:bottom w:val="single" w:sz="4" w:space="0" w:color="auto"/>
              <w:right w:val="single" w:sz="4" w:space="0" w:color="auto"/>
            </w:tcBorders>
            <w:vAlign w:val="center"/>
            <w:hideMark/>
          </w:tcPr>
          <w:p w:rsidR="00B50251" w:rsidRPr="00341292" w:rsidRDefault="00B50251" w:rsidP="00DD3F5A">
            <w:pPr>
              <w:rPr>
                <w:lang w:val="uk-UA"/>
              </w:rPr>
            </w:pPr>
            <w:r w:rsidRPr="00341292">
              <w:rPr>
                <w:lang w:val="uk-UA"/>
              </w:rPr>
              <w:t>1 054,3</w:t>
            </w:r>
          </w:p>
        </w:tc>
        <w:tc>
          <w:tcPr>
            <w:tcW w:w="1276" w:type="dxa"/>
            <w:tcBorders>
              <w:top w:val="single" w:sz="4" w:space="0" w:color="auto"/>
              <w:left w:val="nil"/>
              <w:bottom w:val="single" w:sz="4" w:space="0" w:color="auto"/>
              <w:right w:val="single" w:sz="4" w:space="0" w:color="auto"/>
            </w:tcBorders>
            <w:vAlign w:val="center"/>
            <w:hideMark/>
          </w:tcPr>
          <w:p w:rsidR="00B50251" w:rsidRPr="00341292" w:rsidRDefault="00B50251" w:rsidP="00DD3F5A">
            <w:pPr>
              <w:rPr>
                <w:lang w:val="uk-UA"/>
              </w:rPr>
            </w:pPr>
            <w:r w:rsidRPr="00341292">
              <w:rPr>
                <w:lang w:val="uk-UA"/>
              </w:rPr>
              <w:t>+371,2</w:t>
            </w:r>
          </w:p>
        </w:tc>
      </w:tr>
      <w:tr w:rsidR="00B50251" w:rsidRPr="00341292" w:rsidTr="00DD3F5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jc w:val="center"/>
              <w:rPr>
                <w:lang w:val="uk-UA"/>
              </w:rPr>
            </w:pPr>
            <w:r w:rsidRPr="00341292">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ТОВ "НОВУС Україна"</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3 021,7</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1 267,9</w:t>
            </w:r>
          </w:p>
        </w:tc>
        <w:tc>
          <w:tcPr>
            <w:tcW w:w="1276" w:type="dxa"/>
            <w:tcBorders>
              <w:top w:val="single" w:sz="4" w:space="0" w:color="auto"/>
              <w:left w:val="nil"/>
              <w:bottom w:val="single" w:sz="4" w:space="0" w:color="auto"/>
              <w:right w:val="single" w:sz="4" w:space="0" w:color="auto"/>
            </w:tcBorders>
            <w:vAlign w:val="center"/>
            <w:hideMark/>
          </w:tcPr>
          <w:p w:rsidR="00B50251" w:rsidRPr="00341292" w:rsidRDefault="00B50251" w:rsidP="00DD3F5A">
            <w:pPr>
              <w:rPr>
                <w:lang w:val="uk-UA"/>
              </w:rPr>
            </w:pPr>
            <w:r w:rsidRPr="00341292">
              <w:rPr>
                <w:lang w:val="uk-UA"/>
              </w:rPr>
              <w:t>838,4</w:t>
            </w:r>
          </w:p>
        </w:tc>
        <w:tc>
          <w:tcPr>
            <w:tcW w:w="1276" w:type="dxa"/>
            <w:tcBorders>
              <w:top w:val="single" w:sz="4" w:space="0" w:color="auto"/>
              <w:left w:val="nil"/>
              <w:bottom w:val="single" w:sz="4" w:space="0" w:color="auto"/>
              <w:right w:val="single" w:sz="4" w:space="0" w:color="auto"/>
            </w:tcBorders>
            <w:vAlign w:val="center"/>
            <w:hideMark/>
          </w:tcPr>
          <w:p w:rsidR="00B50251" w:rsidRPr="00341292" w:rsidRDefault="00B50251" w:rsidP="00DD3F5A">
            <w:pPr>
              <w:rPr>
                <w:lang w:val="uk-UA"/>
              </w:rPr>
            </w:pPr>
            <w:r w:rsidRPr="00341292">
              <w:rPr>
                <w:lang w:val="uk-UA"/>
              </w:rPr>
              <w:t>+429,5</w:t>
            </w:r>
          </w:p>
        </w:tc>
      </w:tr>
      <w:tr w:rsidR="00B50251" w:rsidRPr="00341292" w:rsidTr="00DD3F5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jc w:val="center"/>
              <w:rPr>
                <w:lang w:val="uk-UA"/>
              </w:rPr>
            </w:pPr>
            <w:r w:rsidRPr="00341292">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ТОВ "СІЛЬПО-ФУД"</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1 191,7</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1 191,6</w:t>
            </w:r>
          </w:p>
        </w:tc>
        <w:tc>
          <w:tcPr>
            <w:tcW w:w="1276" w:type="dxa"/>
            <w:tcBorders>
              <w:top w:val="single" w:sz="4" w:space="0" w:color="auto"/>
              <w:left w:val="nil"/>
              <w:bottom w:val="single" w:sz="4" w:space="0" w:color="auto"/>
              <w:right w:val="single" w:sz="4" w:space="0" w:color="auto"/>
            </w:tcBorders>
            <w:vAlign w:val="center"/>
          </w:tcPr>
          <w:p w:rsidR="00B50251" w:rsidRPr="00341292" w:rsidRDefault="00B50251" w:rsidP="00DD3F5A">
            <w:pPr>
              <w:rPr>
                <w:lang w:val="uk-UA"/>
              </w:rPr>
            </w:pPr>
            <w:r w:rsidRPr="00341292">
              <w:rPr>
                <w:lang w:val="uk-UA"/>
              </w:rPr>
              <w:t>0,0</w:t>
            </w:r>
          </w:p>
        </w:tc>
        <w:tc>
          <w:tcPr>
            <w:tcW w:w="1276" w:type="dxa"/>
            <w:tcBorders>
              <w:top w:val="single" w:sz="4" w:space="0" w:color="auto"/>
              <w:left w:val="nil"/>
              <w:bottom w:val="single" w:sz="4" w:space="0" w:color="auto"/>
              <w:right w:val="single" w:sz="4" w:space="0" w:color="auto"/>
            </w:tcBorders>
            <w:vAlign w:val="center"/>
          </w:tcPr>
          <w:p w:rsidR="00B50251" w:rsidRPr="00341292" w:rsidRDefault="00B50251" w:rsidP="00DD3F5A">
            <w:pPr>
              <w:rPr>
                <w:lang w:val="uk-UA"/>
              </w:rPr>
            </w:pPr>
            <w:r w:rsidRPr="00341292">
              <w:rPr>
                <w:lang w:val="uk-UA"/>
              </w:rPr>
              <w:t>+1 191,6</w:t>
            </w:r>
          </w:p>
        </w:tc>
      </w:tr>
      <w:tr w:rsidR="00B50251" w:rsidRPr="00341292" w:rsidTr="00DD3F5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jc w:val="center"/>
              <w:rPr>
                <w:lang w:val="uk-UA"/>
              </w:rPr>
            </w:pPr>
            <w:r w:rsidRPr="00341292">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ТОВ HВП МАДЕК</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611,8</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611,8</w:t>
            </w:r>
          </w:p>
        </w:tc>
        <w:tc>
          <w:tcPr>
            <w:tcW w:w="1276" w:type="dxa"/>
            <w:tcBorders>
              <w:top w:val="single" w:sz="4" w:space="0" w:color="auto"/>
              <w:left w:val="nil"/>
              <w:bottom w:val="single" w:sz="4" w:space="0" w:color="auto"/>
              <w:right w:val="single" w:sz="4" w:space="0" w:color="auto"/>
            </w:tcBorders>
            <w:vAlign w:val="center"/>
            <w:hideMark/>
          </w:tcPr>
          <w:p w:rsidR="00B50251" w:rsidRPr="00341292" w:rsidRDefault="00B50251" w:rsidP="00DD3F5A">
            <w:pPr>
              <w:rPr>
                <w:lang w:val="uk-UA"/>
              </w:rPr>
            </w:pPr>
            <w:r w:rsidRPr="00341292">
              <w:rPr>
                <w:lang w:val="uk-UA"/>
              </w:rPr>
              <w:t>757,9</w:t>
            </w:r>
          </w:p>
        </w:tc>
        <w:tc>
          <w:tcPr>
            <w:tcW w:w="1276" w:type="dxa"/>
            <w:tcBorders>
              <w:top w:val="single" w:sz="4" w:space="0" w:color="auto"/>
              <w:left w:val="nil"/>
              <w:bottom w:val="single" w:sz="4" w:space="0" w:color="auto"/>
              <w:right w:val="single" w:sz="4" w:space="0" w:color="auto"/>
            </w:tcBorders>
            <w:vAlign w:val="center"/>
            <w:hideMark/>
          </w:tcPr>
          <w:p w:rsidR="00B50251" w:rsidRPr="00341292" w:rsidRDefault="00B50251" w:rsidP="00DD3F5A">
            <w:pPr>
              <w:rPr>
                <w:lang w:val="uk-UA"/>
              </w:rPr>
            </w:pPr>
            <w:r w:rsidRPr="00341292">
              <w:rPr>
                <w:lang w:val="uk-UA"/>
              </w:rPr>
              <w:t xml:space="preserve"> -146,1</w:t>
            </w:r>
          </w:p>
        </w:tc>
      </w:tr>
      <w:tr w:rsidR="00B50251" w:rsidRPr="00341292" w:rsidTr="00DD3F5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jc w:val="center"/>
              <w:rPr>
                <w:lang w:val="uk-UA"/>
              </w:rPr>
            </w:pPr>
            <w:r w:rsidRPr="00341292">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ТОВ «ЮТЕМ-Інжиніринг»</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549,0</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549,0</w:t>
            </w:r>
          </w:p>
        </w:tc>
        <w:tc>
          <w:tcPr>
            <w:tcW w:w="1276" w:type="dxa"/>
            <w:tcBorders>
              <w:top w:val="single" w:sz="4" w:space="0" w:color="auto"/>
              <w:left w:val="nil"/>
              <w:bottom w:val="single" w:sz="4" w:space="0" w:color="auto"/>
              <w:right w:val="single" w:sz="4" w:space="0" w:color="auto"/>
            </w:tcBorders>
            <w:vAlign w:val="center"/>
            <w:hideMark/>
          </w:tcPr>
          <w:p w:rsidR="00B50251" w:rsidRPr="00341292" w:rsidRDefault="00B50251" w:rsidP="00DD3F5A">
            <w:pPr>
              <w:rPr>
                <w:lang w:val="uk-UA"/>
              </w:rPr>
            </w:pPr>
            <w:r w:rsidRPr="00341292">
              <w:rPr>
                <w:lang w:val="uk-UA"/>
              </w:rPr>
              <w:t>993,0</w:t>
            </w:r>
          </w:p>
        </w:tc>
        <w:tc>
          <w:tcPr>
            <w:tcW w:w="1276" w:type="dxa"/>
            <w:tcBorders>
              <w:top w:val="single" w:sz="4" w:space="0" w:color="auto"/>
              <w:left w:val="nil"/>
              <w:bottom w:val="single" w:sz="4" w:space="0" w:color="auto"/>
              <w:right w:val="single" w:sz="4" w:space="0" w:color="auto"/>
            </w:tcBorders>
            <w:vAlign w:val="center"/>
            <w:hideMark/>
          </w:tcPr>
          <w:p w:rsidR="00B50251" w:rsidRPr="00341292" w:rsidRDefault="00B50251" w:rsidP="00DD3F5A">
            <w:pPr>
              <w:rPr>
                <w:lang w:val="uk-UA"/>
              </w:rPr>
            </w:pPr>
            <w:r w:rsidRPr="00341292">
              <w:rPr>
                <w:lang w:val="uk-UA"/>
              </w:rPr>
              <w:t>-444,0</w:t>
            </w:r>
          </w:p>
        </w:tc>
      </w:tr>
      <w:tr w:rsidR="00B50251" w:rsidRPr="00341292" w:rsidTr="00DD3F5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jc w:val="center"/>
              <w:rPr>
                <w:lang w:val="uk-UA"/>
              </w:rPr>
            </w:pPr>
            <w:r w:rsidRPr="00341292">
              <w:rPr>
                <w:lang w:val="uk-UA"/>
              </w:rPr>
              <w:t>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ТОВ «Комплекс Агромарс»</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654,8</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535,5</w:t>
            </w:r>
          </w:p>
        </w:tc>
        <w:tc>
          <w:tcPr>
            <w:tcW w:w="1276" w:type="dxa"/>
            <w:tcBorders>
              <w:top w:val="single" w:sz="4" w:space="0" w:color="auto"/>
              <w:left w:val="nil"/>
              <w:bottom w:val="single" w:sz="4" w:space="0" w:color="auto"/>
              <w:right w:val="single" w:sz="4" w:space="0" w:color="auto"/>
            </w:tcBorders>
            <w:vAlign w:val="center"/>
            <w:hideMark/>
          </w:tcPr>
          <w:p w:rsidR="00B50251" w:rsidRPr="00341292" w:rsidRDefault="00B50251" w:rsidP="00DD3F5A">
            <w:pPr>
              <w:rPr>
                <w:lang w:val="uk-UA"/>
              </w:rPr>
            </w:pPr>
            <w:r w:rsidRPr="00341292">
              <w:rPr>
                <w:lang w:val="uk-UA"/>
              </w:rPr>
              <w:t>2 757,1</w:t>
            </w:r>
          </w:p>
        </w:tc>
        <w:tc>
          <w:tcPr>
            <w:tcW w:w="1276" w:type="dxa"/>
            <w:tcBorders>
              <w:top w:val="single" w:sz="4" w:space="0" w:color="auto"/>
              <w:left w:val="nil"/>
              <w:bottom w:val="single" w:sz="4" w:space="0" w:color="auto"/>
              <w:right w:val="single" w:sz="4" w:space="0" w:color="auto"/>
            </w:tcBorders>
            <w:vAlign w:val="center"/>
          </w:tcPr>
          <w:p w:rsidR="00B50251" w:rsidRPr="00341292" w:rsidRDefault="00B50251" w:rsidP="00DD3F5A">
            <w:pPr>
              <w:rPr>
                <w:lang w:val="uk-UA"/>
              </w:rPr>
            </w:pPr>
            <w:r w:rsidRPr="00341292">
              <w:rPr>
                <w:lang w:val="uk-UA"/>
              </w:rPr>
              <w:t>-2 221,6</w:t>
            </w:r>
          </w:p>
        </w:tc>
      </w:tr>
      <w:tr w:rsidR="00B50251" w:rsidRPr="00341292" w:rsidTr="00DD3F5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jc w:val="center"/>
              <w:rPr>
                <w:lang w:val="uk-UA"/>
              </w:rPr>
            </w:pPr>
            <w:r w:rsidRPr="00341292">
              <w:rPr>
                <w:lang w:val="uk-UA"/>
              </w:rPr>
              <w:t>10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ТОВ «КЕРАМА МАРАЦЦІ Україна»</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527,6</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527,6</w:t>
            </w:r>
          </w:p>
        </w:tc>
        <w:tc>
          <w:tcPr>
            <w:tcW w:w="1276" w:type="dxa"/>
            <w:tcBorders>
              <w:top w:val="single" w:sz="4" w:space="0" w:color="auto"/>
              <w:left w:val="nil"/>
              <w:bottom w:val="single" w:sz="4" w:space="0" w:color="auto"/>
              <w:right w:val="single" w:sz="4" w:space="0" w:color="auto"/>
            </w:tcBorders>
            <w:vAlign w:val="center"/>
            <w:hideMark/>
          </w:tcPr>
          <w:p w:rsidR="00B50251" w:rsidRPr="00341292" w:rsidRDefault="00B50251" w:rsidP="00DD3F5A">
            <w:pPr>
              <w:rPr>
                <w:lang w:val="uk-UA"/>
              </w:rPr>
            </w:pPr>
            <w:r w:rsidRPr="00341292">
              <w:rPr>
                <w:lang w:val="uk-UA"/>
              </w:rPr>
              <w:t>482,3</w:t>
            </w:r>
          </w:p>
        </w:tc>
        <w:tc>
          <w:tcPr>
            <w:tcW w:w="1276" w:type="dxa"/>
            <w:tcBorders>
              <w:top w:val="single" w:sz="4" w:space="0" w:color="auto"/>
              <w:left w:val="nil"/>
              <w:bottom w:val="single" w:sz="4" w:space="0" w:color="auto"/>
              <w:right w:val="single" w:sz="4" w:space="0" w:color="auto"/>
            </w:tcBorders>
            <w:vAlign w:val="center"/>
            <w:hideMark/>
          </w:tcPr>
          <w:p w:rsidR="00B50251" w:rsidRPr="00341292" w:rsidRDefault="00B50251" w:rsidP="00DD3F5A">
            <w:pPr>
              <w:rPr>
                <w:lang w:val="uk-UA"/>
              </w:rPr>
            </w:pPr>
            <w:r w:rsidRPr="00341292">
              <w:rPr>
                <w:lang w:val="uk-UA"/>
              </w:rPr>
              <w:t>+45,3</w:t>
            </w:r>
          </w:p>
        </w:tc>
      </w:tr>
      <w:tr w:rsidR="00B50251" w:rsidRPr="00341292" w:rsidTr="00DD3F5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jc w:val="center"/>
              <w:rPr>
                <w:lang w:val="uk-UA"/>
              </w:rPr>
            </w:pPr>
            <w:r w:rsidRPr="00341292">
              <w:rPr>
                <w:lang w:val="uk-UA"/>
              </w:rPr>
              <w:t>11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ПКПП «ТЕПЛОКОМУНСЕРВIС»</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502,6</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490,9</w:t>
            </w:r>
          </w:p>
        </w:tc>
        <w:tc>
          <w:tcPr>
            <w:tcW w:w="1276" w:type="dxa"/>
            <w:tcBorders>
              <w:top w:val="single" w:sz="4" w:space="0" w:color="auto"/>
              <w:left w:val="nil"/>
              <w:bottom w:val="single" w:sz="4" w:space="0" w:color="auto"/>
              <w:right w:val="single" w:sz="4" w:space="0" w:color="auto"/>
            </w:tcBorders>
            <w:vAlign w:val="center"/>
            <w:hideMark/>
          </w:tcPr>
          <w:p w:rsidR="00B50251" w:rsidRPr="00341292" w:rsidRDefault="00B50251" w:rsidP="00DD3F5A">
            <w:pPr>
              <w:rPr>
                <w:lang w:val="uk-UA"/>
              </w:rPr>
            </w:pPr>
            <w:r w:rsidRPr="00341292">
              <w:rPr>
                <w:lang w:val="uk-UA"/>
              </w:rPr>
              <w:t>457,8</w:t>
            </w:r>
          </w:p>
        </w:tc>
        <w:tc>
          <w:tcPr>
            <w:tcW w:w="1276" w:type="dxa"/>
            <w:tcBorders>
              <w:top w:val="single" w:sz="4" w:space="0" w:color="auto"/>
              <w:left w:val="nil"/>
              <w:bottom w:val="single" w:sz="4" w:space="0" w:color="auto"/>
              <w:right w:val="single" w:sz="4" w:space="0" w:color="auto"/>
            </w:tcBorders>
            <w:vAlign w:val="center"/>
            <w:hideMark/>
          </w:tcPr>
          <w:p w:rsidR="00B50251" w:rsidRPr="00341292" w:rsidRDefault="00B50251" w:rsidP="00DD3F5A">
            <w:pPr>
              <w:rPr>
                <w:lang w:val="uk-UA"/>
              </w:rPr>
            </w:pPr>
            <w:r w:rsidRPr="00341292">
              <w:rPr>
                <w:lang w:val="uk-UA"/>
              </w:rPr>
              <w:t>+33,1</w:t>
            </w:r>
          </w:p>
        </w:tc>
      </w:tr>
      <w:tr w:rsidR="00B50251" w:rsidRPr="00341292" w:rsidTr="00DD3F5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jc w:val="center"/>
              <w:rPr>
                <w:lang w:val="uk-UA"/>
              </w:rPr>
            </w:pPr>
            <w:r w:rsidRPr="00341292">
              <w:rPr>
                <w:lang w:val="uk-UA"/>
              </w:rPr>
              <w:t>12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ПІІ «МакДональдз Юкрейн ЛТД»</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440,2</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440,2</w:t>
            </w:r>
          </w:p>
        </w:tc>
        <w:tc>
          <w:tcPr>
            <w:tcW w:w="1276" w:type="dxa"/>
            <w:tcBorders>
              <w:top w:val="single" w:sz="4" w:space="0" w:color="auto"/>
              <w:left w:val="nil"/>
              <w:bottom w:val="single" w:sz="4" w:space="0" w:color="auto"/>
              <w:right w:val="single" w:sz="4" w:space="0" w:color="auto"/>
            </w:tcBorders>
            <w:vAlign w:val="center"/>
          </w:tcPr>
          <w:p w:rsidR="00B50251" w:rsidRPr="00341292" w:rsidRDefault="00B50251" w:rsidP="00DD3F5A">
            <w:pPr>
              <w:rPr>
                <w:lang w:val="uk-UA"/>
              </w:rPr>
            </w:pPr>
            <w:r w:rsidRPr="00341292">
              <w:rPr>
                <w:lang w:val="uk-UA"/>
              </w:rPr>
              <w:t>0,0</w:t>
            </w:r>
          </w:p>
        </w:tc>
        <w:tc>
          <w:tcPr>
            <w:tcW w:w="1276" w:type="dxa"/>
            <w:tcBorders>
              <w:top w:val="single" w:sz="4" w:space="0" w:color="auto"/>
              <w:left w:val="nil"/>
              <w:bottom w:val="single" w:sz="4" w:space="0" w:color="auto"/>
              <w:right w:val="single" w:sz="4" w:space="0" w:color="auto"/>
            </w:tcBorders>
            <w:vAlign w:val="center"/>
          </w:tcPr>
          <w:p w:rsidR="00B50251" w:rsidRPr="00341292" w:rsidRDefault="00B50251" w:rsidP="00DD3F5A">
            <w:pPr>
              <w:rPr>
                <w:lang w:val="uk-UA"/>
              </w:rPr>
            </w:pPr>
            <w:r w:rsidRPr="00341292">
              <w:rPr>
                <w:lang w:val="uk-UA"/>
              </w:rPr>
              <w:t>-440,2</w:t>
            </w:r>
          </w:p>
        </w:tc>
      </w:tr>
      <w:tr w:rsidR="00B50251" w:rsidRPr="00341292" w:rsidTr="00DD3F5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jc w:val="center"/>
              <w:rPr>
                <w:lang w:val="uk-UA"/>
              </w:rPr>
            </w:pPr>
            <w:r w:rsidRPr="00341292">
              <w:rPr>
                <w:lang w:val="uk-UA"/>
              </w:rPr>
              <w:t>13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ТОВ «Фора»</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1 068,5</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424,6</w:t>
            </w:r>
          </w:p>
        </w:tc>
        <w:tc>
          <w:tcPr>
            <w:tcW w:w="1276" w:type="dxa"/>
            <w:tcBorders>
              <w:top w:val="single" w:sz="4" w:space="0" w:color="auto"/>
              <w:left w:val="nil"/>
              <w:bottom w:val="single" w:sz="4" w:space="0" w:color="auto"/>
              <w:right w:val="single" w:sz="4" w:space="0" w:color="auto"/>
            </w:tcBorders>
            <w:vAlign w:val="center"/>
            <w:hideMark/>
          </w:tcPr>
          <w:p w:rsidR="00B50251" w:rsidRPr="00341292" w:rsidRDefault="00B50251" w:rsidP="00DD3F5A">
            <w:pPr>
              <w:rPr>
                <w:lang w:val="uk-UA"/>
              </w:rPr>
            </w:pPr>
            <w:r w:rsidRPr="00341292">
              <w:rPr>
                <w:lang w:val="uk-UA"/>
              </w:rPr>
              <w:t>213,0</w:t>
            </w:r>
          </w:p>
        </w:tc>
        <w:tc>
          <w:tcPr>
            <w:tcW w:w="1276" w:type="dxa"/>
            <w:tcBorders>
              <w:top w:val="single" w:sz="4" w:space="0" w:color="auto"/>
              <w:left w:val="nil"/>
              <w:bottom w:val="single" w:sz="4" w:space="0" w:color="auto"/>
              <w:right w:val="single" w:sz="4" w:space="0" w:color="auto"/>
            </w:tcBorders>
            <w:vAlign w:val="center"/>
            <w:hideMark/>
          </w:tcPr>
          <w:p w:rsidR="00B50251" w:rsidRPr="00341292" w:rsidRDefault="00B50251" w:rsidP="00DD3F5A">
            <w:pPr>
              <w:rPr>
                <w:lang w:val="uk-UA"/>
              </w:rPr>
            </w:pPr>
            <w:r w:rsidRPr="00341292">
              <w:rPr>
                <w:lang w:val="uk-UA"/>
              </w:rPr>
              <w:t>+211,6</w:t>
            </w:r>
          </w:p>
        </w:tc>
      </w:tr>
      <w:tr w:rsidR="00B50251" w:rsidRPr="00341292" w:rsidTr="00DD3F5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jc w:val="center"/>
              <w:rPr>
                <w:lang w:val="uk-UA"/>
              </w:rPr>
            </w:pPr>
            <w:r w:rsidRPr="00341292">
              <w:rPr>
                <w:lang w:val="uk-UA"/>
              </w:rPr>
              <w:t>14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ТОВ «Техпромсервiс ЛТД»</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468,9</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B50251" w:rsidRPr="00341292" w:rsidRDefault="00B50251" w:rsidP="00DD3F5A">
            <w:pPr>
              <w:rPr>
                <w:lang w:val="uk-UA"/>
              </w:rPr>
            </w:pPr>
            <w:r w:rsidRPr="00341292">
              <w:rPr>
                <w:lang w:val="uk-UA"/>
              </w:rPr>
              <w:t>405,9</w:t>
            </w:r>
          </w:p>
        </w:tc>
        <w:tc>
          <w:tcPr>
            <w:tcW w:w="1276" w:type="dxa"/>
            <w:tcBorders>
              <w:top w:val="single" w:sz="4" w:space="0" w:color="auto"/>
              <w:left w:val="nil"/>
              <w:bottom w:val="single" w:sz="4" w:space="0" w:color="auto"/>
              <w:right w:val="single" w:sz="4" w:space="0" w:color="auto"/>
            </w:tcBorders>
            <w:vAlign w:val="center"/>
            <w:hideMark/>
          </w:tcPr>
          <w:p w:rsidR="00B50251" w:rsidRPr="00341292" w:rsidRDefault="00B50251" w:rsidP="00DD3F5A">
            <w:pPr>
              <w:rPr>
                <w:lang w:val="uk-UA"/>
              </w:rPr>
            </w:pPr>
            <w:r w:rsidRPr="00341292">
              <w:rPr>
                <w:lang w:val="uk-UA"/>
              </w:rPr>
              <w:t>292,0</w:t>
            </w:r>
          </w:p>
        </w:tc>
        <w:tc>
          <w:tcPr>
            <w:tcW w:w="1276" w:type="dxa"/>
            <w:tcBorders>
              <w:top w:val="single" w:sz="4" w:space="0" w:color="auto"/>
              <w:left w:val="nil"/>
              <w:bottom w:val="single" w:sz="4" w:space="0" w:color="auto"/>
              <w:right w:val="single" w:sz="4" w:space="0" w:color="auto"/>
            </w:tcBorders>
            <w:vAlign w:val="center"/>
            <w:hideMark/>
          </w:tcPr>
          <w:p w:rsidR="00B50251" w:rsidRPr="00341292" w:rsidRDefault="00B50251" w:rsidP="00DD3F5A">
            <w:pPr>
              <w:rPr>
                <w:lang w:val="uk-UA"/>
              </w:rPr>
            </w:pPr>
            <w:r w:rsidRPr="00341292">
              <w:rPr>
                <w:lang w:val="uk-UA"/>
              </w:rPr>
              <w:t>+113,9</w:t>
            </w:r>
          </w:p>
        </w:tc>
      </w:tr>
      <w:tr w:rsidR="00B50251" w:rsidRPr="00341292" w:rsidTr="00DD3F5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50251" w:rsidRPr="00341292" w:rsidRDefault="00B50251" w:rsidP="00DD3F5A">
            <w:pPr>
              <w:jc w:val="center"/>
              <w:rPr>
                <w:lang w:val="uk-UA"/>
              </w:rPr>
            </w:pPr>
            <w:r w:rsidRPr="00341292">
              <w:rPr>
                <w:lang w:val="uk-UA"/>
              </w:rPr>
              <w:t>15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B50251" w:rsidRPr="00341292" w:rsidRDefault="00B50251" w:rsidP="00DD3F5A">
            <w:pPr>
              <w:rPr>
                <w:lang w:val="uk-UA"/>
              </w:rPr>
            </w:pPr>
            <w:r w:rsidRPr="00341292">
              <w:rPr>
                <w:lang w:val="uk-UA"/>
              </w:rPr>
              <w:t>ТОВ "АТБ-МАРКЕТ"</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B50251" w:rsidRPr="00341292" w:rsidRDefault="00B50251" w:rsidP="00DD3F5A">
            <w:pPr>
              <w:rPr>
                <w:lang w:val="uk-UA"/>
              </w:rPr>
            </w:pPr>
            <w:r w:rsidRPr="00341292">
              <w:rPr>
                <w:lang w:val="uk-UA"/>
              </w:rPr>
              <w:t>845,4</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B50251" w:rsidRPr="00341292" w:rsidRDefault="00B50251" w:rsidP="00DD3F5A">
            <w:pPr>
              <w:rPr>
                <w:lang w:val="uk-UA"/>
              </w:rPr>
            </w:pPr>
            <w:r w:rsidRPr="00341292">
              <w:rPr>
                <w:lang w:val="uk-UA"/>
              </w:rPr>
              <w:t>362,3</w:t>
            </w:r>
          </w:p>
        </w:tc>
        <w:tc>
          <w:tcPr>
            <w:tcW w:w="1276" w:type="dxa"/>
            <w:tcBorders>
              <w:top w:val="single" w:sz="4" w:space="0" w:color="auto"/>
              <w:left w:val="nil"/>
              <w:bottom w:val="single" w:sz="4" w:space="0" w:color="auto"/>
              <w:right w:val="single" w:sz="4" w:space="0" w:color="auto"/>
            </w:tcBorders>
            <w:vAlign w:val="center"/>
          </w:tcPr>
          <w:p w:rsidR="00B50251" w:rsidRPr="00341292" w:rsidRDefault="00B50251" w:rsidP="00DD3F5A">
            <w:pPr>
              <w:rPr>
                <w:lang w:val="uk-UA"/>
              </w:rPr>
            </w:pPr>
            <w:r w:rsidRPr="00341292">
              <w:rPr>
                <w:lang w:val="uk-UA"/>
              </w:rPr>
              <w:t>204,9</w:t>
            </w:r>
          </w:p>
        </w:tc>
        <w:tc>
          <w:tcPr>
            <w:tcW w:w="1276" w:type="dxa"/>
            <w:tcBorders>
              <w:top w:val="single" w:sz="4" w:space="0" w:color="auto"/>
              <w:left w:val="nil"/>
              <w:bottom w:val="single" w:sz="4" w:space="0" w:color="auto"/>
              <w:right w:val="single" w:sz="4" w:space="0" w:color="auto"/>
            </w:tcBorders>
            <w:vAlign w:val="center"/>
          </w:tcPr>
          <w:p w:rsidR="00B50251" w:rsidRPr="00341292" w:rsidRDefault="00B50251" w:rsidP="00DD3F5A">
            <w:pPr>
              <w:rPr>
                <w:lang w:val="uk-UA"/>
              </w:rPr>
            </w:pPr>
            <w:r w:rsidRPr="00341292">
              <w:rPr>
                <w:lang w:val="uk-UA"/>
              </w:rPr>
              <w:t>+157,4</w:t>
            </w:r>
          </w:p>
        </w:tc>
      </w:tr>
    </w:tbl>
    <w:p w:rsidR="00E101D6" w:rsidRDefault="00E101D6" w:rsidP="00DE6F01">
      <w:pPr>
        <w:rPr>
          <w:b/>
          <w:bCs/>
          <w:u w:val="single"/>
          <w:lang w:val="uk-UA"/>
        </w:rPr>
      </w:pPr>
    </w:p>
    <w:p w:rsidR="00E101D6" w:rsidRDefault="00E101D6" w:rsidP="00B50251">
      <w:pPr>
        <w:jc w:val="center"/>
        <w:rPr>
          <w:b/>
          <w:bCs/>
          <w:u w:val="single"/>
          <w:lang w:val="uk-UA"/>
        </w:rPr>
      </w:pPr>
    </w:p>
    <w:p w:rsidR="00B50251" w:rsidRPr="005B4D51" w:rsidRDefault="00B50251" w:rsidP="00B50251">
      <w:pPr>
        <w:jc w:val="center"/>
        <w:rPr>
          <w:b/>
          <w:u w:val="single"/>
          <w:lang w:val="uk-UA"/>
        </w:rPr>
      </w:pPr>
      <w:r w:rsidRPr="005B4D51">
        <w:rPr>
          <w:b/>
          <w:bCs/>
          <w:u w:val="single"/>
          <w:lang w:val="uk-UA"/>
        </w:rPr>
        <w:t>Податок на майно</w:t>
      </w:r>
      <w:r w:rsidRPr="005B4D51">
        <w:rPr>
          <w:b/>
          <w:u w:val="single"/>
        </w:rPr>
        <w:t xml:space="preserve"> (18010</w:t>
      </w:r>
      <w:r>
        <w:rPr>
          <w:b/>
          <w:u w:val="single"/>
          <w:lang w:val="uk-UA"/>
        </w:rPr>
        <w:t>0</w:t>
      </w:r>
      <w:r w:rsidRPr="005B4D51">
        <w:rPr>
          <w:b/>
          <w:u w:val="single"/>
        </w:rPr>
        <w:t>0)</w:t>
      </w:r>
    </w:p>
    <w:p w:rsidR="00B50251" w:rsidRPr="005B4D51" w:rsidRDefault="00B50251" w:rsidP="00B50251">
      <w:pPr>
        <w:jc w:val="center"/>
        <w:rPr>
          <w:lang w:val="uk-UA"/>
        </w:rPr>
      </w:pPr>
    </w:p>
    <w:p w:rsidR="00B50251" w:rsidRPr="000F65B2" w:rsidRDefault="00B50251" w:rsidP="00B50251">
      <w:pPr>
        <w:tabs>
          <w:tab w:val="left" w:pos="1530"/>
        </w:tabs>
        <w:ind w:firstLine="900"/>
        <w:jc w:val="both"/>
        <w:rPr>
          <w:bCs/>
          <w:lang w:val="uk-UA"/>
        </w:rPr>
      </w:pPr>
      <w:r w:rsidRPr="00191FC7">
        <w:rPr>
          <w:lang w:val="uk-UA"/>
        </w:rPr>
        <w:t xml:space="preserve">Податку на майно до місцевого бюджету Бучанської міської територіальної громади </w:t>
      </w:r>
      <w:r w:rsidRPr="00191FC7">
        <w:rPr>
          <w:bCs/>
          <w:lang w:val="uk-UA"/>
        </w:rPr>
        <w:t xml:space="preserve">за 1 квартал 2021 року надійшло </w:t>
      </w:r>
      <w:r w:rsidRPr="00191FC7">
        <w:rPr>
          <w:lang w:val="uk-UA"/>
        </w:rPr>
        <w:t>16 872,8 тис. грн.</w:t>
      </w:r>
      <w:r w:rsidRPr="00191FC7">
        <w:rPr>
          <w:bCs/>
          <w:lang w:val="uk-UA"/>
        </w:rPr>
        <w:t xml:space="preserve">, </w:t>
      </w:r>
      <w:r w:rsidRPr="00161E16">
        <w:rPr>
          <w:bCs/>
          <w:lang w:val="uk-UA"/>
        </w:rPr>
        <w:t>що на 3 078,5 тис. грн. менше проти планових призначень та складає 84,6% виконання.</w:t>
      </w:r>
      <w:r w:rsidRPr="00161E16">
        <w:rPr>
          <w:lang w:val="uk-UA"/>
        </w:rPr>
        <w:t xml:space="preserve"> </w:t>
      </w:r>
      <w:r w:rsidRPr="000F65B2">
        <w:rPr>
          <w:lang w:val="uk-UA"/>
        </w:rPr>
        <w:t>Порівнюючи надходження з 1-м кварталом 2020 року спостерігається збільшення надходження на 2 379,2 тис. грн. Темп росту 116,4%</w:t>
      </w:r>
      <w:r w:rsidRPr="000F65B2">
        <w:rPr>
          <w:bCs/>
          <w:lang w:val="uk-UA"/>
        </w:rPr>
        <w:t xml:space="preserve">. </w:t>
      </w:r>
    </w:p>
    <w:p w:rsidR="00B50251" w:rsidRPr="000F65B2" w:rsidRDefault="00B50251" w:rsidP="00B50251">
      <w:pPr>
        <w:ind w:firstLine="900"/>
        <w:jc w:val="both"/>
        <w:rPr>
          <w:bCs/>
          <w:lang w:val="uk-UA"/>
        </w:rPr>
      </w:pPr>
      <w:r w:rsidRPr="000F65B2">
        <w:rPr>
          <w:lang w:val="uk-UA"/>
        </w:rPr>
        <w:t>До податку на майно входять: податок на нерухоме майно, відмінне від земельної ділянки, плата за землю та транспортний податок. В тому числі:</w:t>
      </w:r>
    </w:p>
    <w:p w:rsidR="00B50251" w:rsidRDefault="00B50251" w:rsidP="00B50251">
      <w:pPr>
        <w:numPr>
          <w:ilvl w:val="0"/>
          <w:numId w:val="17"/>
        </w:numPr>
        <w:tabs>
          <w:tab w:val="left" w:pos="993"/>
        </w:tabs>
        <w:ind w:left="0" w:firstLine="851"/>
        <w:jc w:val="both"/>
        <w:rPr>
          <w:color w:val="FF0000"/>
          <w:lang w:val="uk-UA"/>
        </w:rPr>
      </w:pPr>
      <w:r w:rsidRPr="00144A82">
        <w:rPr>
          <w:bCs/>
          <w:i/>
          <w:u w:val="single"/>
          <w:lang w:val="uk-UA"/>
        </w:rPr>
        <w:t xml:space="preserve">Податку на нерухоме майно, </w:t>
      </w:r>
      <w:r w:rsidRPr="00144A82">
        <w:rPr>
          <w:i/>
          <w:u w:val="single"/>
          <w:lang w:val="uk-UA"/>
        </w:rPr>
        <w:t>відмінного від земельної ділянки</w:t>
      </w:r>
      <w:r w:rsidRPr="00144A82">
        <w:rPr>
          <w:lang w:val="uk-UA"/>
        </w:rPr>
        <w:t xml:space="preserve"> надійшло 2 377,2 тис. грн., </w:t>
      </w:r>
      <w:r w:rsidRPr="00915B41">
        <w:rPr>
          <w:lang w:val="uk-UA"/>
        </w:rPr>
        <w:t xml:space="preserve">що на 327,0 тис. грн. менше проти плану на відповідний період та становить 87,9% </w:t>
      </w:r>
      <w:r w:rsidRPr="00915B41">
        <w:rPr>
          <w:lang w:val="uk-UA"/>
        </w:rPr>
        <w:lastRenderedPageBreak/>
        <w:t>виконання.</w:t>
      </w:r>
      <w:r w:rsidRPr="00915B41">
        <w:t xml:space="preserve"> </w:t>
      </w:r>
      <w:r w:rsidRPr="00915B41">
        <w:rPr>
          <w:lang w:val="uk-UA"/>
        </w:rPr>
        <w:t>Темп росту  порівняно</w:t>
      </w:r>
      <w:r w:rsidRPr="000F65B2">
        <w:rPr>
          <w:lang w:val="uk-UA"/>
        </w:rPr>
        <w:t xml:space="preserve"> з відповідним періодом минулого року  145,3% або на 740,7 тис. грн. більше.</w:t>
      </w:r>
      <w:r>
        <w:rPr>
          <w:lang w:val="uk-UA"/>
        </w:rPr>
        <w:t xml:space="preserve"> </w:t>
      </w:r>
    </w:p>
    <w:p w:rsidR="00B50251" w:rsidRPr="00BE63A4" w:rsidRDefault="00B50251" w:rsidP="00B50251">
      <w:pPr>
        <w:tabs>
          <w:tab w:val="left" w:pos="993"/>
        </w:tabs>
        <w:jc w:val="both"/>
        <w:rPr>
          <w:color w:val="FF0000"/>
          <w:lang w:val="uk-UA"/>
        </w:rPr>
      </w:pPr>
      <w:r w:rsidRPr="00BE63A4">
        <w:rPr>
          <w:lang w:val="uk-UA"/>
        </w:rPr>
        <w:t>Відповідно до інформації, наданої ГУ ДПС у Київській області станом на 01.05.2021 року</w:t>
      </w:r>
      <w:r>
        <w:rPr>
          <w:lang w:val="uk-UA"/>
        </w:rPr>
        <w:t>,</w:t>
      </w:r>
      <w:r w:rsidRPr="00BE63A4">
        <w:rPr>
          <w:lang w:val="uk-UA"/>
        </w:rPr>
        <w:t xml:space="preserve"> загальна сума заборгованості з </w:t>
      </w:r>
      <w:r w:rsidRPr="00BE63A4">
        <w:rPr>
          <w:bCs/>
          <w:lang w:val="uk-UA"/>
        </w:rPr>
        <w:t xml:space="preserve">податків на нерухоме майно, </w:t>
      </w:r>
      <w:r w:rsidRPr="00BE63A4">
        <w:rPr>
          <w:lang w:val="uk-UA"/>
        </w:rPr>
        <w:t>відмінне від земельної ділянки становить 2 184,0 тис. грн.</w:t>
      </w:r>
      <w:r w:rsidRPr="00BE63A4">
        <w:rPr>
          <w:color w:val="FF0000"/>
          <w:lang w:val="uk-UA"/>
        </w:rPr>
        <w:t xml:space="preserve"> </w:t>
      </w:r>
    </w:p>
    <w:p w:rsidR="00B50251" w:rsidRDefault="00B50251" w:rsidP="00B50251">
      <w:pPr>
        <w:tabs>
          <w:tab w:val="left" w:pos="993"/>
        </w:tabs>
        <w:ind w:firstLine="720"/>
        <w:jc w:val="both"/>
        <w:rPr>
          <w:lang w:val="uk-UA"/>
        </w:rPr>
      </w:pPr>
      <w:r w:rsidRPr="00CE7879">
        <w:rPr>
          <w:i/>
          <w:color w:val="FF0000"/>
          <w:lang w:val="uk-UA"/>
        </w:rPr>
        <w:t xml:space="preserve">   </w:t>
      </w:r>
      <w:r w:rsidRPr="00144A82">
        <w:rPr>
          <w:i/>
          <w:lang w:val="uk-UA"/>
        </w:rPr>
        <w:t>-</w:t>
      </w:r>
      <w:r w:rsidRPr="00144A82">
        <w:rPr>
          <w:i/>
          <w:u w:val="single"/>
          <w:lang w:val="uk-UA"/>
        </w:rPr>
        <w:t xml:space="preserve"> Плата за землю</w:t>
      </w:r>
      <w:r w:rsidRPr="00144A82">
        <w:rPr>
          <w:lang w:val="uk-UA"/>
        </w:rPr>
        <w:t xml:space="preserve"> надійшла в сумі 14 433,</w:t>
      </w:r>
      <w:r w:rsidRPr="00144A82">
        <w:t>1</w:t>
      </w:r>
      <w:r w:rsidRPr="00144A82">
        <w:rPr>
          <w:lang w:val="uk-UA"/>
        </w:rPr>
        <w:t xml:space="preserve"> тис. грн</w:t>
      </w:r>
      <w:r w:rsidRPr="002A309F">
        <w:rPr>
          <w:lang w:val="uk-UA"/>
        </w:rPr>
        <w:t xml:space="preserve">., що </w:t>
      </w:r>
      <w:r w:rsidRPr="00144A82">
        <w:rPr>
          <w:lang w:val="uk-UA"/>
        </w:rPr>
        <w:t xml:space="preserve">на 1 612,6 тис. грн. більше в порівнянні з аналогічним періодом </w:t>
      </w:r>
      <w:r w:rsidRPr="00144A82">
        <w:t>20</w:t>
      </w:r>
      <w:r w:rsidRPr="00144A82">
        <w:rPr>
          <w:lang w:val="uk-UA"/>
        </w:rPr>
        <w:t>20 року. Т</w:t>
      </w:r>
      <w:r w:rsidRPr="000F65B2">
        <w:rPr>
          <w:lang w:val="uk-UA"/>
        </w:rPr>
        <w:t>емп росту 112,6%</w:t>
      </w:r>
      <w:r>
        <w:rPr>
          <w:lang w:val="uk-UA"/>
        </w:rPr>
        <w:t xml:space="preserve">. </w:t>
      </w:r>
    </w:p>
    <w:p w:rsidR="00B50251" w:rsidRPr="002A309F" w:rsidRDefault="00B50251" w:rsidP="00B50251">
      <w:pPr>
        <w:tabs>
          <w:tab w:val="left" w:pos="993"/>
        </w:tabs>
        <w:ind w:firstLine="720"/>
        <w:jc w:val="both"/>
        <w:rPr>
          <w:lang w:val="uk-UA"/>
        </w:rPr>
      </w:pPr>
      <w:r w:rsidRPr="002A309F">
        <w:rPr>
          <w:lang w:val="uk-UA"/>
        </w:rPr>
        <w:t>Та на 2 774,5 тис. грн. менше проти плану по цьому виду податку на 1 квартал 2021 року та становить 83,9% виконання.  Загальна сума податкового боргу з орендної плати та земельного податку станом на 01.05.2021 року становить 12 080,4 тис. грн.</w:t>
      </w:r>
    </w:p>
    <w:p w:rsidR="00B50251" w:rsidRPr="00CE7879" w:rsidRDefault="00B50251" w:rsidP="00B50251">
      <w:pPr>
        <w:tabs>
          <w:tab w:val="left" w:pos="1530"/>
        </w:tabs>
        <w:ind w:firstLine="900"/>
        <w:jc w:val="both"/>
        <w:rPr>
          <w:bCs/>
          <w:color w:val="FF0000"/>
          <w:lang w:val="uk-UA"/>
        </w:rPr>
      </w:pPr>
      <w:r w:rsidRPr="00552200">
        <w:rPr>
          <w:i/>
          <w:u w:val="single"/>
        </w:rPr>
        <w:t xml:space="preserve">- </w:t>
      </w:r>
      <w:r w:rsidRPr="00552200">
        <w:rPr>
          <w:i/>
          <w:u w:val="single"/>
          <w:lang w:val="uk-UA"/>
        </w:rPr>
        <w:t>Транспортного податку</w:t>
      </w:r>
      <w:r w:rsidRPr="00552200">
        <w:rPr>
          <w:lang w:val="uk-UA"/>
        </w:rPr>
        <w:t xml:space="preserve"> протягом 1 кварталу 2021 року надійшло 62,5 тис. грн., </w:t>
      </w:r>
      <w:r w:rsidRPr="004C0B3B">
        <w:rPr>
          <w:lang w:val="uk-UA"/>
        </w:rPr>
        <w:t>та становить 157,8% виконання. Порівнюючи надходження з 1-м кварталом 2020 року спостерігається збільшення надходження податку на 25,9 тис. грн. Темп росту 170,6%</w:t>
      </w:r>
      <w:r w:rsidRPr="004C0B3B">
        <w:rPr>
          <w:bCs/>
          <w:lang w:val="uk-UA"/>
        </w:rPr>
        <w:t xml:space="preserve">. </w:t>
      </w:r>
    </w:p>
    <w:p w:rsidR="00B50251" w:rsidRPr="005B4D51" w:rsidRDefault="00B50251" w:rsidP="00B50251">
      <w:pPr>
        <w:tabs>
          <w:tab w:val="left" w:pos="993"/>
        </w:tabs>
        <w:jc w:val="both"/>
        <w:rPr>
          <w:lang w:val="uk-UA"/>
        </w:rPr>
      </w:pPr>
      <w:r w:rsidRPr="00CE7879">
        <w:rPr>
          <w:color w:val="FF0000"/>
          <w:lang w:val="uk-UA"/>
        </w:rPr>
        <w:tab/>
      </w:r>
    </w:p>
    <w:p w:rsidR="00B50251" w:rsidRPr="005B4D51" w:rsidRDefault="00B50251" w:rsidP="00B50251">
      <w:pPr>
        <w:jc w:val="center"/>
        <w:rPr>
          <w:b/>
          <w:u w:val="single"/>
          <w:lang w:val="uk-UA"/>
        </w:rPr>
      </w:pPr>
      <w:r w:rsidRPr="005B4D51">
        <w:rPr>
          <w:b/>
          <w:u w:val="single"/>
          <w:lang w:val="uk-UA"/>
        </w:rPr>
        <w:t>Єдиний податок</w:t>
      </w:r>
    </w:p>
    <w:p w:rsidR="00B50251" w:rsidRDefault="00B50251" w:rsidP="00B50251">
      <w:pPr>
        <w:jc w:val="center"/>
        <w:rPr>
          <w:b/>
          <w:u w:val="single"/>
          <w:lang w:val="uk-UA"/>
        </w:rPr>
      </w:pPr>
    </w:p>
    <w:p w:rsidR="00B50251" w:rsidRPr="005B4D51" w:rsidRDefault="00B50251" w:rsidP="00B50251">
      <w:pPr>
        <w:tabs>
          <w:tab w:val="left" w:pos="1530"/>
        </w:tabs>
        <w:ind w:firstLine="720"/>
        <w:jc w:val="both"/>
        <w:rPr>
          <w:lang w:val="uk-UA"/>
        </w:rPr>
      </w:pPr>
      <w:r w:rsidRPr="005B4D51">
        <w:rPr>
          <w:lang w:val="uk-UA"/>
        </w:rPr>
        <w:t xml:space="preserve">Єдиного податку сплаченого юридичними та фізичними особами за 1 квартал 2021 року надійшло 27 376,1 тис. грн., що на 3 985,0 тис. грн. більше в порівнянні з плановими призначеннями і складає 117,0% виконання. </w:t>
      </w:r>
      <w:r w:rsidR="00AE411A">
        <w:rPr>
          <w:lang w:val="uk-UA"/>
        </w:rPr>
        <w:t>Порівняно з 1-м кварталом 2020 року спостерігається збільшення доходів на 8 921,7 тис. грн. Темп росту 148,3%</w:t>
      </w:r>
    </w:p>
    <w:p w:rsidR="00B50251" w:rsidRDefault="00B50251" w:rsidP="00B50251">
      <w:pPr>
        <w:tabs>
          <w:tab w:val="left" w:pos="1530"/>
        </w:tabs>
        <w:ind w:firstLine="720"/>
        <w:jc w:val="both"/>
        <w:rPr>
          <w:lang w:val="uk-UA"/>
        </w:rPr>
      </w:pPr>
      <w:r w:rsidRPr="005B4D51">
        <w:rPr>
          <w:lang w:val="uk-UA"/>
        </w:rPr>
        <w:t>Основною мірою темп росту податку обумовлений збільшенням кількості суб’єктів господарювання, що є платниками єдиного податку. Кількість юридичних осіб зросла з 96 до 106</w:t>
      </w:r>
      <w:r>
        <w:rPr>
          <w:lang w:val="uk-UA"/>
        </w:rPr>
        <w:t xml:space="preserve"> (+10 платників)</w:t>
      </w:r>
      <w:r w:rsidRPr="005B4D51">
        <w:rPr>
          <w:lang w:val="uk-UA"/>
        </w:rPr>
        <w:t>, кількість фізичних осіб-підприємців з 2 126 до 2</w:t>
      </w:r>
      <w:r>
        <w:rPr>
          <w:lang w:val="uk-UA"/>
        </w:rPr>
        <w:t> </w:t>
      </w:r>
      <w:r w:rsidRPr="005B4D51">
        <w:rPr>
          <w:lang w:val="uk-UA"/>
        </w:rPr>
        <w:t>444</w:t>
      </w:r>
      <w:r>
        <w:rPr>
          <w:lang w:val="uk-UA"/>
        </w:rPr>
        <w:t xml:space="preserve"> (+318 платників)</w:t>
      </w:r>
      <w:r w:rsidRPr="005B4D51">
        <w:rPr>
          <w:lang w:val="uk-UA"/>
        </w:rPr>
        <w:t>. Приріст має місце</w:t>
      </w:r>
      <w:r>
        <w:rPr>
          <w:lang w:val="uk-UA"/>
        </w:rPr>
        <w:t>,</w:t>
      </w:r>
      <w:r w:rsidRPr="005B4D51">
        <w:rPr>
          <w:lang w:val="uk-UA"/>
        </w:rPr>
        <w:t xml:space="preserve"> значною мірою</w:t>
      </w:r>
      <w:r>
        <w:rPr>
          <w:lang w:val="uk-UA"/>
        </w:rPr>
        <w:t>,</w:t>
      </w:r>
      <w:r w:rsidRPr="005B4D51">
        <w:rPr>
          <w:lang w:val="uk-UA"/>
        </w:rPr>
        <w:t xml:space="preserve"> за рахунок збільшення території громади, що поширилась на новоприєднані населені пункти.  </w:t>
      </w:r>
    </w:p>
    <w:p w:rsidR="00B50251" w:rsidRPr="00802732" w:rsidRDefault="00B50251" w:rsidP="00B50251">
      <w:pPr>
        <w:tabs>
          <w:tab w:val="left" w:pos="1530"/>
        </w:tabs>
        <w:ind w:firstLine="720"/>
        <w:jc w:val="both"/>
        <w:rPr>
          <w:lang w:val="uk-UA"/>
        </w:rPr>
      </w:pPr>
      <w:r w:rsidRPr="005B4D51">
        <w:rPr>
          <w:lang w:val="uk-UA"/>
        </w:rPr>
        <w:t xml:space="preserve">Крім того </w:t>
      </w:r>
      <w:r>
        <w:rPr>
          <w:lang w:val="uk-UA"/>
        </w:rPr>
        <w:t>вагому</w:t>
      </w:r>
      <w:r w:rsidRPr="005B4D51">
        <w:rPr>
          <w:lang w:val="uk-UA"/>
        </w:rPr>
        <w:t xml:space="preserve"> роль відіграло збільшення </w:t>
      </w:r>
      <w:r>
        <w:rPr>
          <w:lang w:val="uk-UA"/>
        </w:rPr>
        <w:t xml:space="preserve">розміру </w:t>
      </w:r>
      <w:r w:rsidRPr="005B4D51">
        <w:rPr>
          <w:lang w:val="uk-UA"/>
        </w:rPr>
        <w:t>єдиного податку у зв’</w:t>
      </w:r>
      <w:r>
        <w:rPr>
          <w:lang w:val="uk-UA"/>
        </w:rPr>
        <w:t>я</w:t>
      </w:r>
      <w:r w:rsidRPr="005B4D51">
        <w:rPr>
          <w:lang w:val="uk-UA"/>
        </w:rPr>
        <w:t xml:space="preserve">зку зі </w:t>
      </w:r>
      <w:r w:rsidRPr="00802732">
        <w:rPr>
          <w:lang w:val="uk-UA"/>
        </w:rPr>
        <w:t>збільшенням мінімальної заробітної плати,</w:t>
      </w:r>
      <w:r w:rsidRPr="00802732">
        <w:t> </w:t>
      </w:r>
      <w:r w:rsidRPr="00802732">
        <w:rPr>
          <w:lang w:val="uk-UA"/>
        </w:rPr>
        <w:t>визначен</w:t>
      </w:r>
      <w:r>
        <w:rPr>
          <w:lang w:val="uk-UA"/>
        </w:rPr>
        <w:t>ого</w:t>
      </w:r>
      <w:r w:rsidRPr="00802732">
        <w:rPr>
          <w:lang w:val="uk-UA"/>
        </w:rPr>
        <w:t xml:space="preserve"> Законом України Про Державний бюджет України на 2021 рік, відсоток від як</w:t>
      </w:r>
      <w:r>
        <w:rPr>
          <w:lang w:val="uk-UA"/>
        </w:rPr>
        <w:t>ої</w:t>
      </w:r>
      <w:r w:rsidRPr="00802732">
        <w:rPr>
          <w:lang w:val="uk-UA"/>
        </w:rPr>
        <w:t xml:space="preserve"> визначає ставк</w:t>
      </w:r>
      <w:r>
        <w:rPr>
          <w:lang w:val="uk-UA"/>
        </w:rPr>
        <w:t>у</w:t>
      </w:r>
      <w:r w:rsidRPr="00802732">
        <w:rPr>
          <w:lang w:val="uk-UA"/>
        </w:rPr>
        <w:t xml:space="preserve"> єдиного податку для платників другої груп</w:t>
      </w:r>
      <w:r>
        <w:rPr>
          <w:lang w:val="uk-UA"/>
        </w:rPr>
        <w:t>и</w:t>
      </w:r>
      <w:r w:rsidRPr="00802732">
        <w:rPr>
          <w:lang w:val="uk-UA"/>
        </w:rPr>
        <w:t xml:space="preserve">. </w:t>
      </w:r>
    </w:p>
    <w:p w:rsidR="00B50251" w:rsidRPr="00E101D6" w:rsidRDefault="00B50251" w:rsidP="00E101D6">
      <w:pPr>
        <w:tabs>
          <w:tab w:val="left" w:pos="1530"/>
        </w:tabs>
        <w:ind w:firstLine="720"/>
        <w:jc w:val="both"/>
        <w:rPr>
          <w:lang w:val="uk-UA"/>
        </w:rPr>
      </w:pPr>
      <w:r w:rsidRPr="00802732">
        <w:rPr>
          <w:lang w:val="uk-UA"/>
        </w:rPr>
        <w:t xml:space="preserve">При цьому слід зауважити, що в 1-му кварталі 2021 року частковий вплив на доходи місцевих бюджетів мали також норми Закону України №1072-ІХ від 4 грудня 2020 року «Про внесення змін до Податкового кодексу України та інших законів України щодо соціальної підтримки платників податків на період здійснення обмежувальних протиепідемічних заходів, запроваджених з метою запобігання поширенню на території України гострої респіраторної хвороби </w:t>
      </w:r>
      <w:r w:rsidRPr="00802732">
        <w:t>COVID</w:t>
      </w:r>
      <w:r w:rsidRPr="00802732">
        <w:rPr>
          <w:lang w:val="uk-UA"/>
        </w:rPr>
        <w:t xml:space="preserve">-19, спричиненої </w:t>
      </w:r>
      <w:r>
        <w:rPr>
          <w:lang w:val="uk-UA"/>
        </w:rPr>
        <w:t>коро</w:t>
      </w:r>
      <w:r w:rsidRPr="00802732">
        <w:rPr>
          <w:lang w:val="uk-UA"/>
        </w:rPr>
        <w:t>н</w:t>
      </w:r>
      <w:r>
        <w:rPr>
          <w:lang w:val="uk-UA"/>
        </w:rPr>
        <w:t>а</w:t>
      </w:r>
      <w:r w:rsidRPr="00802732">
        <w:rPr>
          <w:lang w:val="uk-UA"/>
        </w:rPr>
        <w:t xml:space="preserve">вірусом </w:t>
      </w:r>
      <w:r w:rsidRPr="00802732">
        <w:t>SARS</w:t>
      </w:r>
      <w:r w:rsidRPr="00802732">
        <w:rPr>
          <w:lang w:val="uk-UA"/>
        </w:rPr>
        <w:t>-</w:t>
      </w:r>
      <w:r w:rsidRPr="00802732">
        <w:t>CoV</w:t>
      </w:r>
      <w:r w:rsidRPr="00802732">
        <w:rPr>
          <w:lang w:val="uk-UA"/>
        </w:rPr>
        <w:t xml:space="preserve">-2», яким </w:t>
      </w:r>
      <w:r>
        <w:rPr>
          <w:lang w:val="uk-UA"/>
        </w:rPr>
        <w:t xml:space="preserve">було </w:t>
      </w:r>
      <w:r w:rsidRPr="00802732">
        <w:rPr>
          <w:lang w:val="uk-UA"/>
        </w:rPr>
        <w:t>внесено зміни до Прикінцевих положень Податкового кодексу України. Зокрема, підрозділ 10 Розділу ХХ доповнено пунктом 52-9, відповідно до якого тимчасово (грудень 2020 року – травень 2021 року) звільняються від сплати єдиного податку платники першої групи спрощеної системи оподаткування.</w:t>
      </w:r>
    </w:p>
    <w:p w:rsidR="00B50251" w:rsidRPr="005B4D51" w:rsidRDefault="00B50251" w:rsidP="00B50251">
      <w:pPr>
        <w:pStyle w:val="2"/>
        <w:spacing w:after="0" w:line="240" w:lineRule="auto"/>
        <w:ind w:left="0" w:firstLine="900"/>
        <w:jc w:val="center"/>
        <w:rPr>
          <w:b/>
          <w:bCs/>
          <w:sz w:val="26"/>
          <w:szCs w:val="26"/>
          <w:u w:val="single"/>
          <w:lang w:val="uk-UA"/>
        </w:rPr>
      </w:pPr>
      <w:r w:rsidRPr="005B4D51">
        <w:rPr>
          <w:b/>
          <w:bCs/>
          <w:sz w:val="26"/>
          <w:szCs w:val="26"/>
          <w:u w:val="single"/>
          <w:lang w:val="uk-UA"/>
        </w:rPr>
        <w:t xml:space="preserve">Внутрішні податки на товари та послуги </w:t>
      </w:r>
    </w:p>
    <w:p w:rsidR="00B50251" w:rsidRPr="005B4D51" w:rsidRDefault="00B50251" w:rsidP="00B50251">
      <w:pPr>
        <w:pStyle w:val="2"/>
        <w:spacing w:after="0" w:line="240" w:lineRule="auto"/>
        <w:ind w:left="0" w:firstLine="900"/>
        <w:jc w:val="center"/>
        <w:rPr>
          <w:b/>
          <w:bCs/>
          <w:sz w:val="26"/>
          <w:szCs w:val="26"/>
          <w:u w:val="single"/>
          <w:lang w:val="uk-UA"/>
        </w:rPr>
      </w:pPr>
      <w:r w:rsidRPr="005B4D51">
        <w:rPr>
          <w:b/>
          <w:bCs/>
          <w:sz w:val="26"/>
          <w:szCs w:val="26"/>
          <w:u w:val="single"/>
          <w:lang w:val="uk-UA"/>
        </w:rPr>
        <w:t>(в т.ч. акцизний податок)</w:t>
      </w:r>
    </w:p>
    <w:p w:rsidR="00B50251" w:rsidRPr="005B4D51" w:rsidRDefault="00B50251" w:rsidP="00B50251">
      <w:pPr>
        <w:pStyle w:val="2"/>
        <w:spacing w:after="0" w:line="240" w:lineRule="auto"/>
        <w:ind w:left="0" w:firstLine="900"/>
        <w:jc w:val="center"/>
        <w:rPr>
          <w:b/>
          <w:bCs/>
          <w:sz w:val="26"/>
          <w:szCs w:val="26"/>
          <w:u w:val="single"/>
          <w:lang w:val="uk-UA"/>
        </w:rPr>
      </w:pPr>
    </w:p>
    <w:p w:rsidR="00B50251" w:rsidRPr="00E101D6" w:rsidRDefault="00B50251" w:rsidP="00B50251">
      <w:pPr>
        <w:pStyle w:val="2"/>
        <w:spacing w:after="0" w:line="240" w:lineRule="auto"/>
        <w:ind w:left="0" w:firstLine="720"/>
        <w:jc w:val="both"/>
        <w:rPr>
          <w:lang w:val="uk-UA"/>
        </w:rPr>
      </w:pPr>
      <w:r w:rsidRPr="00E101D6">
        <w:rPr>
          <w:rStyle w:val="rvts0"/>
          <w:lang w:val="uk-UA"/>
        </w:rPr>
        <w:t xml:space="preserve">За </w:t>
      </w:r>
      <w:r w:rsidRPr="00E101D6">
        <w:rPr>
          <w:lang w:val="uk-UA"/>
        </w:rPr>
        <w:t xml:space="preserve">1-й квартал 2021 року </w:t>
      </w:r>
      <w:r w:rsidRPr="00E101D6">
        <w:rPr>
          <w:rStyle w:val="rvts0"/>
          <w:lang w:val="uk-UA"/>
        </w:rPr>
        <w:t>до місцевого бюджету Бучанської міської територіальної громади надійшло 11</w:t>
      </w:r>
      <w:r w:rsidRPr="00E101D6">
        <w:rPr>
          <w:rStyle w:val="rvts0"/>
        </w:rPr>
        <w:t> </w:t>
      </w:r>
      <w:r w:rsidRPr="00E101D6">
        <w:rPr>
          <w:rStyle w:val="rvts0"/>
          <w:lang w:val="uk-UA"/>
        </w:rPr>
        <w:t>828,2 тис. грн, в</w:t>
      </w:r>
      <w:r w:rsidRPr="00E101D6">
        <w:rPr>
          <w:lang w:val="uk-UA"/>
        </w:rPr>
        <w:t xml:space="preserve">нутрішніх податків на товари та послуги, </w:t>
      </w:r>
      <w:r w:rsidRPr="00E101D6">
        <w:rPr>
          <w:rStyle w:val="rvts0"/>
          <w:lang w:val="uk-UA"/>
        </w:rPr>
        <w:t xml:space="preserve">що в порівнянні з надходженнями за </w:t>
      </w:r>
      <w:r w:rsidRPr="00E101D6">
        <w:rPr>
          <w:lang w:val="uk-UA"/>
        </w:rPr>
        <w:t>1-й квартал 2020 року більше на 5 616,3 тис. грн. Темп росту складає 190,4%.</w:t>
      </w:r>
    </w:p>
    <w:p w:rsidR="00B50251" w:rsidRPr="00E101D6" w:rsidRDefault="00B50251" w:rsidP="00B50251">
      <w:pPr>
        <w:pStyle w:val="2"/>
        <w:spacing w:after="0" w:line="240" w:lineRule="auto"/>
        <w:ind w:left="0" w:firstLine="720"/>
        <w:jc w:val="both"/>
        <w:rPr>
          <w:lang w:val="uk-UA"/>
        </w:rPr>
      </w:pPr>
      <w:r w:rsidRPr="00E101D6">
        <w:rPr>
          <w:lang w:val="uk-UA"/>
        </w:rPr>
        <w:t xml:space="preserve">Акцизного податку з вироблених в Україні підакцизних товарів (продукції) за 1-й квартал 2021 року надійшло 1 525,7 тис. грн. </w:t>
      </w:r>
      <w:bookmarkStart w:id="5" w:name="_Hlk71184053"/>
      <w:r w:rsidRPr="00E101D6">
        <w:rPr>
          <w:lang w:val="uk-UA"/>
        </w:rPr>
        <w:t>Порівнюючи з надходженнями за 1-й квартал 2020 року, надходження збільшилися  на 869,2 тис. грн. Темп росту складає 232,4%.</w:t>
      </w:r>
    </w:p>
    <w:bookmarkEnd w:id="5"/>
    <w:p w:rsidR="00B50251" w:rsidRPr="00E101D6" w:rsidRDefault="00B50251" w:rsidP="00B50251">
      <w:pPr>
        <w:pStyle w:val="a4"/>
        <w:shd w:val="clear" w:color="auto" w:fill="FFFFFF" w:themeFill="background1"/>
        <w:ind w:left="0" w:right="-2"/>
        <w:jc w:val="both"/>
        <w:rPr>
          <w:color w:val="FF0000"/>
          <w:shd w:val="clear" w:color="auto" w:fill="FFFFFF" w:themeFill="background1"/>
        </w:rPr>
      </w:pPr>
      <w:r w:rsidRPr="00E101D6">
        <w:rPr>
          <w:rStyle w:val="rvts0"/>
        </w:rPr>
        <w:t xml:space="preserve">          Акцизного податку з ввезених на митну територію України підакцизних товарів (продукції) за </w:t>
      </w:r>
      <w:bookmarkStart w:id="6" w:name="_Hlk70432275"/>
      <w:r w:rsidRPr="00E101D6">
        <w:t xml:space="preserve">1-й квартал 2021 року </w:t>
      </w:r>
      <w:bookmarkEnd w:id="6"/>
      <w:r w:rsidRPr="00E101D6">
        <w:rPr>
          <w:rStyle w:val="rvts0"/>
        </w:rPr>
        <w:t xml:space="preserve">до місцевого надійшло 5 140,2 тис. грн. Порівнюючи з надходженнями за </w:t>
      </w:r>
      <w:r w:rsidRPr="00E101D6">
        <w:t>1-й квартал 2020 року</w:t>
      </w:r>
      <w:r w:rsidRPr="00E101D6">
        <w:rPr>
          <w:rStyle w:val="rvts0"/>
        </w:rPr>
        <w:t>, надходження збільшилися на 3 017,7 тис. грн. Темп росту складає 242,2%.</w:t>
      </w:r>
      <w:r w:rsidRPr="00E101D6">
        <w:rPr>
          <w:color w:val="FF0000"/>
          <w:shd w:val="clear" w:color="auto" w:fill="FFFFFF" w:themeFill="background1"/>
        </w:rPr>
        <w:t xml:space="preserve"> </w:t>
      </w:r>
    </w:p>
    <w:p w:rsidR="00B50251" w:rsidRPr="00E101D6" w:rsidRDefault="00B50251" w:rsidP="00B50251">
      <w:pPr>
        <w:tabs>
          <w:tab w:val="left" w:pos="1530"/>
        </w:tabs>
        <w:ind w:firstLine="709"/>
        <w:jc w:val="both"/>
        <w:rPr>
          <w:bCs/>
          <w:lang w:val="uk-UA"/>
        </w:rPr>
      </w:pPr>
      <w:r w:rsidRPr="00E101D6">
        <w:rPr>
          <w:shd w:val="clear" w:color="auto" w:fill="FFFFFF" w:themeFill="background1"/>
          <w:lang w:val="uk-UA"/>
        </w:rPr>
        <w:lastRenderedPageBreak/>
        <w:t>Вищезазначений</w:t>
      </w:r>
      <w:r w:rsidRPr="00E101D6">
        <w:rPr>
          <w:shd w:val="clear" w:color="auto" w:fill="FFFFFF" w:themeFill="background1"/>
        </w:rPr>
        <w:t xml:space="preserve"> податок не був запланований</w:t>
      </w:r>
      <w:r w:rsidRPr="00E101D6">
        <w:rPr>
          <w:shd w:val="clear" w:color="auto" w:fill="FFFFFF" w:themeFill="background1"/>
          <w:lang w:val="uk-UA"/>
        </w:rPr>
        <w:t xml:space="preserve"> при формуванні місцевого бюджету Бучанської міської територіальної громади на 2021 рік у</w:t>
      </w:r>
      <w:r w:rsidRPr="00E101D6">
        <w:rPr>
          <w:shd w:val="clear" w:color="auto" w:fill="FFFFFF" w:themeFill="background1"/>
        </w:rPr>
        <w:t xml:space="preserve"> зв’язку</w:t>
      </w:r>
      <w:r w:rsidRPr="00E101D6">
        <w:rPr>
          <w:shd w:val="clear" w:color="auto" w:fill="FFFFFF" w:themeFill="background1"/>
          <w:lang w:val="uk-UA"/>
        </w:rPr>
        <w:t xml:space="preserve"> особливостями бюджетного процесу, пов'язаними з внесеннями змін до Бюджетного кодексу України</w:t>
      </w:r>
      <w:r w:rsidRPr="00E101D6">
        <w:rPr>
          <w:shd w:val="clear" w:color="auto" w:fill="FFFFFF" w:themeFill="background1"/>
        </w:rPr>
        <w:t>. За підсумками 1-го півріччя 2021 року по факту перевиконання даного податку будуть внесені зміни</w:t>
      </w:r>
      <w:r w:rsidRPr="00E101D6">
        <w:rPr>
          <w:shd w:val="clear" w:color="auto" w:fill="FFFFFF" w:themeFill="background1"/>
          <w:lang w:val="uk-UA"/>
        </w:rPr>
        <w:t xml:space="preserve"> до </w:t>
      </w:r>
      <w:r w:rsidRPr="00E101D6">
        <w:rPr>
          <w:shd w:val="clear" w:color="auto" w:fill="FFFFFF"/>
        </w:rPr>
        <w:t>рішення про місцевий бюджет</w:t>
      </w:r>
      <w:r w:rsidRPr="00E101D6">
        <w:rPr>
          <w:shd w:val="clear" w:color="auto" w:fill="FFFFFF"/>
          <w:lang w:val="uk-UA"/>
        </w:rPr>
        <w:t>.</w:t>
      </w:r>
    </w:p>
    <w:p w:rsidR="00B50251" w:rsidRPr="00E101D6" w:rsidRDefault="00B50251" w:rsidP="00B50251">
      <w:pPr>
        <w:tabs>
          <w:tab w:val="left" w:pos="1530"/>
        </w:tabs>
        <w:ind w:firstLine="720"/>
        <w:jc w:val="both"/>
        <w:rPr>
          <w:bCs/>
          <w:lang w:val="uk-UA"/>
        </w:rPr>
      </w:pPr>
      <w:r w:rsidRPr="00E101D6">
        <w:rPr>
          <w:bCs/>
          <w:lang w:val="uk-UA"/>
        </w:rPr>
        <w:t xml:space="preserve">Акцизного податку </w:t>
      </w:r>
      <w:r w:rsidRPr="00E101D6">
        <w:rPr>
          <w:rStyle w:val="rvts0"/>
          <w:lang w:val="uk-UA"/>
        </w:rPr>
        <w:t>з реалізації</w:t>
      </w:r>
      <w:r w:rsidRPr="00E101D6">
        <w:rPr>
          <w:bCs/>
          <w:lang w:val="uk-UA"/>
        </w:rPr>
        <w:t xml:space="preserve"> </w:t>
      </w:r>
      <w:r w:rsidRPr="00E101D6">
        <w:rPr>
          <w:rStyle w:val="rvts0"/>
          <w:lang w:val="uk-UA"/>
        </w:rPr>
        <w:t xml:space="preserve">суб’єктами господарювання роздрібної торгівлі підакцизних товарів надійшло до </w:t>
      </w:r>
      <w:r w:rsidRPr="00E101D6">
        <w:rPr>
          <w:lang w:val="uk-UA"/>
        </w:rPr>
        <w:t xml:space="preserve">місцевого бюджету в 1-му кварталі 2021 року 5 162,3 тис. грн, </w:t>
      </w:r>
      <w:r w:rsidRPr="00E101D6">
        <w:rPr>
          <w:bCs/>
          <w:lang w:val="uk-UA"/>
        </w:rPr>
        <w:t xml:space="preserve">що на 582,1 тис. грн. більше проти планових призначень та складає 112,7% виконання. Порівнюючи з надходженнями 1-го кварталу 2020 року надійшло акцизного податку  на 1 729,5 тис. грн. більше з темпом росту 150,4%. </w:t>
      </w:r>
    </w:p>
    <w:p w:rsidR="00B50251" w:rsidRDefault="00B50251" w:rsidP="00B50251">
      <w:pPr>
        <w:pStyle w:val="2"/>
        <w:spacing w:after="0" w:line="240" w:lineRule="auto"/>
        <w:ind w:left="0" w:firstLine="900"/>
        <w:jc w:val="right"/>
        <w:rPr>
          <w:b/>
          <w:bCs/>
          <w:lang w:val="uk-UA"/>
        </w:rPr>
      </w:pPr>
    </w:p>
    <w:p w:rsidR="00B50251" w:rsidRPr="00DF24C3" w:rsidRDefault="00B50251" w:rsidP="00B50251">
      <w:pPr>
        <w:pStyle w:val="2"/>
        <w:spacing w:after="0" w:line="240" w:lineRule="auto"/>
        <w:ind w:left="0" w:firstLine="900"/>
        <w:jc w:val="right"/>
        <w:rPr>
          <w:b/>
          <w:bCs/>
          <w:lang w:val="uk-UA"/>
        </w:rPr>
      </w:pPr>
      <w:r w:rsidRPr="00DF24C3">
        <w:rPr>
          <w:b/>
          <w:bCs/>
          <w:lang w:val="uk-UA"/>
        </w:rPr>
        <w:t>Таблиця 2</w:t>
      </w:r>
    </w:p>
    <w:p w:rsidR="00B50251" w:rsidRPr="00DF24C3" w:rsidRDefault="00B50251" w:rsidP="00B50251">
      <w:pPr>
        <w:tabs>
          <w:tab w:val="left" w:pos="1530"/>
        </w:tabs>
        <w:jc w:val="center"/>
        <w:rPr>
          <w:b/>
          <w:lang w:val="uk-UA"/>
        </w:rPr>
      </w:pPr>
      <w:r w:rsidRPr="00DF24C3">
        <w:rPr>
          <w:b/>
          <w:lang w:val="uk-UA"/>
        </w:rPr>
        <w:t xml:space="preserve">Найбільші платники акцизного податку в сфері роздрібної торгівлі підакцизними товарами </w:t>
      </w:r>
      <w:r w:rsidRPr="00DF24C3">
        <w:rPr>
          <w:b/>
          <w:bCs/>
        </w:rPr>
        <w:t xml:space="preserve">за </w:t>
      </w:r>
      <w:r w:rsidRPr="00DF24C3">
        <w:rPr>
          <w:b/>
          <w:bCs/>
          <w:lang w:val="uk-UA"/>
        </w:rPr>
        <w:t xml:space="preserve">1-й квартал </w:t>
      </w:r>
      <w:r w:rsidRPr="00DF24C3">
        <w:rPr>
          <w:b/>
          <w:bCs/>
        </w:rPr>
        <w:t>20</w:t>
      </w:r>
      <w:r w:rsidRPr="00DF24C3">
        <w:rPr>
          <w:b/>
          <w:bCs/>
          <w:lang w:val="uk-UA"/>
        </w:rPr>
        <w:t>21</w:t>
      </w:r>
      <w:r w:rsidRPr="00DF24C3">
        <w:rPr>
          <w:b/>
          <w:bCs/>
        </w:rPr>
        <w:t xml:space="preserve"> рік</w:t>
      </w:r>
    </w:p>
    <w:p w:rsidR="00B50251" w:rsidRPr="00DF24C3" w:rsidRDefault="00B50251" w:rsidP="00B50251">
      <w:pPr>
        <w:tabs>
          <w:tab w:val="left" w:pos="1530"/>
        </w:tabs>
        <w:jc w:val="right"/>
        <w:rPr>
          <w:b/>
          <w:lang w:val="uk-UA"/>
        </w:rPr>
      </w:pPr>
      <w:r w:rsidRPr="00B07AA8">
        <w:rPr>
          <w:b/>
          <w:bCs/>
          <w:i/>
          <w:iCs/>
          <w:lang w:val="uk-UA"/>
        </w:rPr>
        <w:t>тис.грн.</w:t>
      </w:r>
    </w:p>
    <w:tbl>
      <w:tblPr>
        <w:tblW w:w="9072" w:type="dxa"/>
        <w:tblInd w:w="392" w:type="dxa"/>
        <w:tblLook w:val="04A0" w:firstRow="1" w:lastRow="0" w:firstColumn="1" w:lastColumn="0" w:noHBand="0" w:noVBand="1"/>
      </w:tblPr>
      <w:tblGrid>
        <w:gridCol w:w="561"/>
        <w:gridCol w:w="3409"/>
        <w:gridCol w:w="1700"/>
        <w:gridCol w:w="1559"/>
        <w:gridCol w:w="1843"/>
      </w:tblGrid>
      <w:tr w:rsidR="00B50251" w:rsidRPr="00EE2542" w:rsidTr="00DD3F5A">
        <w:trPr>
          <w:trHeight w:val="255"/>
        </w:trPr>
        <w:tc>
          <w:tcPr>
            <w:tcW w:w="561" w:type="dxa"/>
            <w:tcBorders>
              <w:top w:val="single" w:sz="4" w:space="0" w:color="auto"/>
              <w:left w:val="single" w:sz="4" w:space="0" w:color="auto"/>
              <w:bottom w:val="single" w:sz="4" w:space="0" w:color="auto"/>
              <w:right w:val="single" w:sz="4" w:space="0" w:color="auto"/>
            </w:tcBorders>
            <w:noWrap/>
            <w:vAlign w:val="center"/>
            <w:hideMark/>
          </w:tcPr>
          <w:p w:rsidR="00B50251" w:rsidRPr="00EE2542" w:rsidRDefault="00B50251" w:rsidP="00DD3F5A">
            <w:pPr>
              <w:jc w:val="center"/>
              <w:rPr>
                <w:b/>
                <w:bCs/>
                <w:iCs/>
                <w:lang w:val="uk-UA" w:eastAsia="uk-UA"/>
              </w:rPr>
            </w:pPr>
            <w:r w:rsidRPr="00EE2542">
              <w:rPr>
                <w:b/>
                <w:bCs/>
                <w:iCs/>
                <w:lang w:val="uk-UA" w:eastAsia="uk-UA"/>
              </w:rPr>
              <w:t>№</w:t>
            </w:r>
          </w:p>
        </w:tc>
        <w:tc>
          <w:tcPr>
            <w:tcW w:w="3409" w:type="dxa"/>
            <w:tcBorders>
              <w:top w:val="single" w:sz="4" w:space="0" w:color="auto"/>
              <w:left w:val="nil"/>
              <w:bottom w:val="single" w:sz="4" w:space="0" w:color="auto"/>
              <w:right w:val="single" w:sz="4" w:space="0" w:color="auto"/>
            </w:tcBorders>
            <w:noWrap/>
            <w:vAlign w:val="center"/>
            <w:hideMark/>
          </w:tcPr>
          <w:p w:rsidR="00B50251" w:rsidRPr="00EE2542" w:rsidRDefault="00B50251" w:rsidP="00DD3F5A">
            <w:pPr>
              <w:jc w:val="center"/>
              <w:rPr>
                <w:b/>
                <w:bCs/>
                <w:iCs/>
                <w:lang w:val="uk-UA" w:eastAsia="uk-UA"/>
              </w:rPr>
            </w:pPr>
            <w:r w:rsidRPr="00EE2542">
              <w:rPr>
                <w:b/>
                <w:bCs/>
                <w:iCs/>
                <w:lang w:val="uk-UA" w:eastAsia="uk-UA"/>
              </w:rPr>
              <w:t xml:space="preserve">Платники </w:t>
            </w:r>
          </w:p>
        </w:tc>
        <w:tc>
          <w:tcPr>
            <w:tcW w:w="1700" w:type="dxa"/>
            <w:tcBorders>
              <w:top w:val="single" w:sz="4" w:space="0" w:color="auto"/>
              <w:left w:val="single" w:sz="4" w:space="0" w:color="auto"/>
              <w:bottom w:val="single" w:sz="4" w:space="0" w:color="auto"/>
              <w:right w:val="single" w:sz="4" w:space="0" w:color="auto"/>
            </w:tcBorders>
            <w:vAlign w:val="center"/>
            <w:hideMark/>
          </w:tcPr>
          <w:p w:rsidR="00B50251" w:rsidRPr="00EE2542" w:rsidRDefault="00B50251" w:rsidP="00DD3F5A">
            <w:pPr>
              <w:jc w:val="center"/>
              <w:rPr>
                <w:b/>
                <w:bCs/>
                <w:sz w:val="20"/>
                <w:szCs w:val="20"/>
                <w:lang w:val="uk-UA"/>
              </w:rPr>
            </w:pPr>
            <w:r w:rsidRPr="00EE2542">
              <w:rPr>
                <w:b/>
                <w:bCs/>
                <w:sz w:val="20"/>
                <w:szCs w:val="20"/>
                <w:lang w:val="uk-UA"/>
              </w:rPr>
              <w:t xml:space="preserve">АКЦИЗНИЙ ПОДАТОК  за 1-й квартал </w:t>
            </w:r>
          </w:p>
          <w:p w:rsidR="00B50251" w:rsidRPr="00EE2542" w:rsidRDefault="00B50251" w:rsidP="00DD3F5A">
            <w:pPr>
              <w:jc w:val="center"/>
              <w:rPr>
                <w:b/>
                <w:bCs/>
                <w:iCs/>
                <w:lang w:val="uk-UA" w:eastAsia="uk-UA"/>
              </w:rPr>
            </w:pPr>
            <w:r w:rsidRPr="00EE2542">
              <w:rPr>
                <w:b/>
                <w:bCs/>
                <w:sz w:val="20"/>
                <w:szCs w:val="20"/>
                <w:lang w:val="uk-UA"/>
              </w:rPr>
              <w:t>2021 року</w:t>
            </w:r>
          </w:p>
        </w:tc>
        <w:tc>
          <w:tcPr>
            <w:tcW w:w="1559" w:type="dxa"/>
            <w:tcBorders>
              <w:top w:val="single" w:sz="4" w:space="0" w:color="auto"/>
              <w:left w:val="single" w:sz="4" w:space="0" w:color="auto"/>
              <w:bottom w:val="single" w:sz="4" w:space="0" w:color="auto"/>
              <w:right w:val="single" w:sz="4" w:space="0" w:color="auto"/>
            </w:tcBorders>
          </w:tcPr>
          <w:p w:rsidR="00B50251" w:rsidRPr="00EE2542" w:rsidRDefault="00B50251" w:rsidP="00DD3F5A">
            <w:pPr>
              <w:jc w:val="center"/>
              <w:rPr>
                <w:b/>
                <w:bCs/>
                <w:sz w:val="20"/>
                <w:szCs w:val="20"/>
                <w:lang w:val="uk-UA"/>
              </w:rPr>
            </w:pPr>
            <w:r w:rsidRPr="00EE2542">
              <w:rPr>
                <w:b/>
                <w:bCs/>
                <w:sz w:val="20"/>
                <w:szCs w:val="20"/>
                <w:lang w:val="uk-UA"/>
              </w:rPr>
              <w:t xml:space="preserve">АКЦИЗНИЙ ПОДАТОК  за 1-й квартал </w:t>
            </w:r>
          </w:p>
          <w:p w:rsidR="00B50251" w:rsidRPr="00EE2542" w:rsidRDefault="00B50251" w:rsidP="00DD3F5A">
            <w:pPr>
              <w:jc w:val="center"/>
              <w:rPr>
                <w:b/>
                <w:bCs/>
                <w:iCs/>
                <w:lang w:val="uk-UA" w:eastAsia="uk-UA"/>
              </w:rPr>
            </w:pPr>
            <w:r w:rsidRPr="00EE2542">
              <w:rPr>
                <w:b/>
                <w:bCs/>
                <w:sz w:val="20"/>
                <w:szCs w:val="20"/>
                <w:lang w:val="uk-UA"/>
              </w:rPr>
              <w:t>2020 року</w:t>
            </w:r>
          </w:p>
        </w:tc>
        <w:tc>
          <w:tcPr>
            <w:tcW w:w="1843" w:type="dxa"/>
            <w:tcBorders>
              <w:top w:val="single" w:sz="4" w:space="0" w:color="auto"/>
              <w:left w:val="single" w:sz="4" w:space="0" w:color="auto"/>
              <w:bottom w:val="single" w:sz="4" w:space="0" w:color="auto"/>
              <w:right w:val="single" w:sz="4" w:space="0" w:color="auto"/>
            </w:tcBorders>
            <w:vAlign w:val="center"/>
          </w:tcPr>
          <w:p w:rsidR="00B50251" w:rsidRPr="00EE2542" w:rsidRDefault="00B50251" w:rsidP="00DD3F5A">
            <w:pPr>
              <w:jc w:val="center"/>
              <w:rPr>
                <w:b/>
                <w:bCs/>
                <w:iCs/>
                <w:lang w:val="uk-UA" w:eastAsia="uk-UA"/>
              </w:rPr>
            </w:pPr>
            <w:r w:rsidRPr="00EE2542">
              <w:rPr>
                <w:b/>
                <w:bCs/>
                <w:sz w:val="20"/>
                <w:szCs w:val="20"/>
                <w:lang w:val="uk-UA"/>
              </w:rPr>
              <w:t>Відхилення</w:t>
            </w:r>
          </w:p>
        </w:tc>
      </w:tr>
      <w:tr w:rsidR="00B50251" w:rsidRPr="00EE2542" w:rsidTr="00DD3F5A">
        <w:trPr>
          <w:trHeight w:val="264"/>
        </w:trPr>
        <w:tc>
          <w:tcPr>
            <w:tcW w:w="561" w:type="dxa"/>
            <w:tcBorders>
              <w:top w:val="single" w:sz="4" w:space="0" w:color="auto"/>
              <w:left w:val="single" w:sz="4" w:space="0" w:color="auto"/>
              <w:bottom w:val="single" w:sz="4" w:space="0" w:color="auto"/>
              <w:right w:val="single" w:sz="4" w:space="0" w:color="auto"/>
            </w:tcBorders>
            <w:noWrap/>
            <w:vAlign w:val="bottom"/>
            <w:hideMark/>
          </w:tcPr>
          <w:p w:rsidR="00B50251" w:rsidRPr="00EE2542" w:rsidRDefault="00B50251" w:rsidP="00DD3F5A">
            <w:pPr>
              <w:jc w:val="center"/>
              <w:rPr>
                <w:b/>
                <w:sz w:val="20"/>
                <w:szCs w:val="20"/>
                <w:lang w:val="uk-UA" w:eastAsia="uk-UA"/>
              </w:rPr>
            </w:pPr>
            <w:r w:rsidRPr="00EE2542">
              <w:rPr>
                <w:b/>
                <w:sz w:val="20"/>
                <w:szCs w:val="20"/>
                <w:lang w:val="uk-UA" w:eastAsia="uk-UA"/>
              </w:rPr>
              <w:t>1</w:t>
            </w:r>
          </w:p>
        </w:tc>
        <w:tc>
          <w:tcPr>
            <w:tcW w:w="3409" w:type="dxa"/>
            <w:tcBorders>
              <w:top w:val="single" w:sz="4" w:space="0" w:color="auto"/>
              <w:left w:val="nil"/>
              <w:bottom w:val="single" w:sz="4" w:space="0" w:color="auto"/>
              <w:right w:val="single" w:sz="4" w:space="0" w:color="auto"/>
            </w:tcBorders>
            <w:noWrap/>
            <w:vAlign w:val="bottom"/>
            <w:hideMark/>
          </w:tcPr>
          <w:p w:rsidR="00B50251" w:rsidRPr="00EE2542" w:rsidRDefault="00B50251" w:rsidP="00DD3F5A">
            <w:pPr>
              <w:jc w:val="center"/>
              <w:rPr>
                <w:b/>
                <w:sz w:val="20"/>
                <w:szCs w:val="20"/>
                <w:lang w:val="uk-UA" w:eastAsia="uk-UA"/>
              </w:rPr>
            </w:pPr>
            <w:r w:rsidRPr="00EE2542">
              <w:rPr>
                <w:b/>
                <w:sz w:val="20"/>
                <w:szCs w:val="20"/>
                <w:lang w:val="uk-UA" w:eastAsia="uk-UA"/>
              </w:rPr>
              <w:t>2</w:t>
            </w:r>
          </w:p>
        </w:tc>
        <w:tc>
          <w:tcPr>
            <w:tcW w:w="1700" w:type="dxa"/>
            <w:tcBorders>
              <w:top w:val="single" w:sz="4" w:space="0" w:color="auto"/>
              <w:left w:val="single" w:sz="4" w:space="0" w:color="auto"/>
              <w:bottom w:val="single" w:sz="4" w:space="0" w:color="auto"/>
              <w:right w:val="single" w:sz="4" w:space="0" w:color="auto"/>
            </w:tcBorders>
            <w:noWrap/>
            <w:vAlign w:val="bottom"/>
            <w:hideMark/>
          </w:tcPr>
          <w:p w:rsidR="00B50251" w:rsidRPr="00EE2542" w:rsidRDefault="00B50251" w:rsidP="00DD3F5A">
            <w:pPr>
              <w:jc w:val="center"/>
              <w:rPr>
                <w:b/>
                <w:sz w:val="20"/>
                <w:szCs w:val="20"/>
                <w:lang w:val="uk-UA" w:eastAsia="uk-UA"/>
              </w:rPr>
            </w:pPr>
            <w:r w:rsidRPr="00EE2542">
              <w:rPr>
                <w:b/>
                <w:sz w:val="20"/>
                <w:szCs w:val="20"/>
                <w:lang w:val="uk-UA" w:eastAsia="uk-UA"/>
              </w:rPr>
              <w:t>3</w:t>
            </w:r>
          </w:p>
        </w:tc>
        <w:tc>
          <w:tcPr>
            <w:tcW w:w="1559" w:type="dxa"/>
            <w:tcBorders>
              <w:top w:val="single" w:sz="4" w:space="0" w:color="auto"/>
              <w:left w:val="single" w:sz="4" w:space="0" w:color="auto"/>
              <w:bottom w:val="single" w:sz="4" w:space="0" w:color="auto"/>
              <w:right w:val="single" w:sz="4" w:space="0" w:color="auto"/>
            </w:tcBorders>
          </w:tcPr>
          <w:p w:rsidR="00B50251" w:rsidRPr="00EE2542" w:rsidRDefault="00B50251" w:rsidP="00DD3F5A">
            <w:pPr>
              <w:jc w:val="center"/>
              <w:rPr>
                <w:b/>
                <w:sz w:val="20"/>
                <w:szCs w:val="20"/>
                <w:lang w:val="uk-UA" w:eastAsia="uk-UA"/>
              </w:rPr>
            </w:pPr>
            <w:r w:rsidRPr="00EE2542">
              <w:rPr>
                <w:b/>
                <w:sz w:val="20"/>
                <w:szCs w:val="20"/>
                <w:lang w:val="uk-UA" w:eastAsia="uk-UA"/>
              </w:rPr>
              <w:t>4</w:t>
            </w:r>
          </w:p>
        </w:tc>
        <w:tc>
          <w:tcPr>
            <w:tcW w:w="1843" w:type="dxa"/>
            <w:tcBorders>
              <w:top w:val="single" w:sz="4" w:space="0" w:color="auto"/>
              <w:left w:val="single" w:sz="4" w:space="0" w:color="auto"/>
              <w:bottom w:val="single" w:sz="4" w:space="0" w:color="auto"/>
              <w:right w:val="single" w:sz="4" w:space="0" w:color="auto"/>
            </w:tcBorders>
          </w:tcPr>
          <w:p w:rsidR="00B50251" w:rsidRPr="00EE2542" w:rsidRDefault="00B50251" w:rsidP="00DD3F5A">
            <w:pPr>
              <w:jc w:val="center"/>
              <w:rPr>
                <w:b/>
                <w:sz w:val="20"/>
                <w:szCs w:val="20"/>
                <w:lang w:val="uk-UA" w:eastAsia="uk-UA"/>
              </w:rPr>
            </w:pPr>
            <w:r w:rsidRPr="00EE2542">
              <w:rPr>
                <w:b/>
                <w:sz w:val="20"/>
                <w:szCs w:val="20"/>
                <w:lang w:val="uk-UA" w:eastAsia="uk-UA"/>
              </w:rPr>
              <w:t>5</w:t>
            </w:r>
          </w:p>
        </w:tc>
      </w:tr>
      <w:tr w:rsidR="00B50251" w:rsidRPr="007C3964" w:rsidTr="00DD3F5A">
        <w:trPr>
          <w:trHeight w:val="264"/>
        </w:trPr>
        <w:tc>
          <w:tcPr>
            <w:tcW w:w="561" w:type="dxa"/>
            <w:tcBorders>
              <w:top w:val="nil"/>
              <w:left w:val="single" w:sz="4" w:space="0" w:color="auto"/>
              <w:bottom w:val="single" w:sz="4" w:space="0" w:color="auto"/>
              <w:right w:val="single" w:sz="4" w:space="0" w:color="auto"/>
            </w:tcBorders>
            <w:noWrap/>
            <w:vAlign w:val="bottom"/>
            <w:hideMark/>
          </w:tcPr>
          <w:p w:rsidR="00B50251" w:rsidRPr="007C3964" w:rsidRDefault="00B50251" w:rsidP="00DD3F5A">
            <w:pPr>
              <w:jc w:val="center"/>
              <w:rPr>
                <w:lang w:val="uk-UA" w:eastAsia="uk-UA"/>
              </w:rPr>
            </w:pPr>
            <w:r w:rsidRPr="007C3964">
              <w:rPr>
                <w:lang w:val="uk-UA" w:eastAsia="uk-UA"/>
              </w:rPr>
              <w:t>1</w:t>
            </w:r>
          </w:p>
        </w:tc>
        <w:tc>
          <w:tcPr>
            <w:tcW w:w="3409" w:type="dxa"/>
            <w:tcBorders>
              <w:top w:val="nil"/>
              <w:left w:val="nil"/>
              <w:bottom w:val="single" w:sz="4" w:space="0" w:color="auto"/>
              <w:right w:val="single" w:sz="4" w:space="0" w:color="auto"/>
            </w:tcBorders>
            <w:vAlign w:val="center"/>
            <w:hideMark/>
          </w:tcPr>
          <w:p w:rsidR="00B50251" w:rsidRPr="007C3964" w:rsidRDefault="00B50251" w:rsidP="00DD3F5A">
            <w:pPr>
              <w:rPr>
                <w:lang w:val="uk-UA" w:eastAsia="uk-UA"/>
              </w:rPr>
            </w:pPr>
            <w:r w:rsidRPr="007C3964">
              <w:rPr>
                <w:lang w:val="uk-UA" w:eastAsia="uk-UA"/>
              </w:rPr>
              <w:t>ТОВ "НОВУС Україна"</w:t>
            </w:r>
          </w:p>
        </w:tc>
        <w:tc>
          <w:tcPr>
            <w:tcW w:w="1700" w:type="dxa"/>
            <w:tcBorders>
              <w:top w:val="nil"/>
              <w:left w:val="single" w:sz="4" w:space="0" w:color="auto"/>
              <w:bottom w:val="single" w:sz="4" w:space="0" w:color="auto"/>
              <w:right w:val="single" w:sz="4" w:space="0" w:color="auto"/>
            </w:tcBorders>
            <w:vAlign w:val="center"/>
            <w:hideMark/>
          </w:tcPr>
          <w:p w:rsidR="00B50251" w:rsidRPr="007C3964" w:rsidRDefault="00B50251" w:rsidP="00DD3F5A">
            <w:pPr>
              <w:jc w:val="right"/>
              <w:rPr>
                <w:lang w:val="uk-UA" w:eastAsia="uk-UA"/>
              </w:rPr>
            </w:pPr>
            <w:r w:rsidRPr="007C3964">
              <w:rPr>
                <w:lang w:val="uk-UA" w:eastAsia="uk-UA"/>
              </w:rPr>
              <w:t>1 342,9</w:t>
            </w:r>
          </w:p>
        </w:tc>
        <w:tc>
          <w:tcPr>
            <w:tcW w:w="1559" w:type="dxa"/>
            <w:tcBorders>
              <w:top w:val="nil"/>
              <w:left w:val="single" w:sz="4" w:space="0" w:color="auto"/>
              <w:bottom w:val="single" w:sz="4" w:space="0" w:color="auto"/>
              <w:right w:val="single" w:sz="4" w:space="0" w:color="auto"/>
            </w:tcBorders>
          </w:tcPr>
          <w:p w:rsidR="00B50251" w:rsidRPr="007C3964" w:rsidRDefault="00B50251" w:rsidP="00DD3F5A">
            <w:pPr>
              <w:jc w:val="right"/>
              <w:rPr>
                <w:lang w:val="uk-UA" w:eastAsia="uk-UA"/>
              </w:rPr>
            </w:pPr>
            <w:r>
              <w:rPr>
                <w:lang w:val="uk-UA" w:eastAsia="uk-UA"/>
              </w:rPr>
              <w:t>1 090,6</w:t>
            </w:r>
          </w:p>
        </w:tc>
        <w:tc>
          <w:tcPr>
            <w:tcW w:w="1843" w:type="dxa"/>
            <w:tcBorders>
              <w:top w:val="nil"/>
              <w:left w:val="single" w:sz="4" w:space="0" w:color="auto"/>
              <w:bottom w:val="single" w:sz="4" w:space="0" w:color="auto"/>
              <w:right w:val="single" w:sz="4" w:space="0" w:color="auto"/>
            </w:tcBorders>
          </w:tcPr>
          <w:p w:rsidR="00B50251" w:rsidRPr="007C3964" w:rsidRDefault="00B50251" w:rsidP="00DD3F5A">
            <w:pPr>
              <w:jc w:val="right"/>
              <w:rPr>
                <w:lang w:val="uk-UA" w:eastAsia="uk-UA"/>
              </w:rPr>
            </w:pPr>
            <w:r>
              <w:rPr>
                <w:lang w:val="uk-UA" w:eastAsia="uk-UA"/>
              </w:rPr>
              <w:t>+252,3</w:t>
            </w:r>
          </w:p>
        </w:tc>
      </w:tr>
      <w:tr w:rsidR="00B50251" w:rsidRPr="007C3964" w:rsidTr="00DD3F5A">
        <w:trPr>
          <w:trHeight w:val="264"/>
        </w:trPr>
        <w:tc>
          <w:tcPr>
            <w:tcW w:w="561" w:type="dxa"/>
            <w:tcBorders>
              <w:top w:val="nil"/>
              <w:left w:val="single" w:sz="4" w:space="0" w:color="auto"/>
              <w:bottom w:val="single" w:sz="4" w:space="0" w:color="auto"/>
              <w:right w:val="single" w:sz="4" w:space="0" w:color="auto"/>
            </w:tcBorders>
            <w:noWrap/>
            <w:vAlign w:val="bottom"/>
            <w:hideMark/>
          </w:tcPr>
          <w:p w:rsidR="00B50251" w:rsidRPr="007C3964" w:rsidRDefault="00B50251" w:rsidP="00DD3F5A">
            <w:pPr>
              <w:jc w:val="center"/>
              <w:rPr>
                <w:lang w:val="uk-UA" w:eastAsia="uk-UA"/>
              </w:rPr>
            </w:pPr>
            <w:r w:rsidRPr="007C3964">
              <w:rPr>
                <w:lang w:val="uk-UA" w:eastAsia="uk-UA"/>
              </w:rPr>
              <w:t>2</w:t>
            </w:r>
          </w:p>
        </w:tc>
        <w:tc>
          <w:tcPr>
            <w:tcW w:w="3409" w:type="dxa"/>
            <w:tcBorders>
              <w:top w:val="nil"/>
              <w:left w:val="nil"/>
              <w:bottom w:val="single" w:sz="4" w:space="0" w:color="auto"/>
              <w:right w:val="single" w:sz="4" w:space="0" w:color="auto"/>
            </w:tcBorders>
            <w:vAlign w:val="center"/>
            <w:hideMark/>
          </w:tcPr>
          <w:p w:rsidR="00B50251" w:rsidRPr="007C3964" w:rsidRDefault="00B50251" w:rsidP="00DD3F5A">
            <w:pPr>
              <w:rPr>
                <w:lang w:val="uk-UA" w:eastAsia="uk-UA"/>
              </w:rPr>
            </w:pPr>
            <w:r w:rsidRPr="007C3964">
              <w:rPr>
                <w:lang w:val="uk-UA" w:eastAsia="uk-UA"/>
              </w:rPr>
              <w:t>ТОВ "Фора"</w:t>
            </w:r>
          </w:p>
        </w:tc>
        <w:tc>
          <w:tcPr>
            <w:tcW w:w="1700" w:type="dxa"/>
            <w:tcBorders>
              <w:top w:val="nil"/>
              <w:left w:val="single" w:sz="4" w:space="0" w:color="auto"/>
              <w:bottom w:val="single" w:sz="4" w:space="0" w:color="auto"/>
              <w:right w:val="single" w:sz="4" w:space="0" w:color="auto"/>
            </w:tcBorders>
            <w:vAlign w:val="center"/>
            <w:hideMark/>
          </w:tcPr>
          <w:p w:rsidR="00B50251" w:rsidRPr="007C3964" w:rsidRDefault="00B50251" w:rsidP="00DD3F5A">
            <w:pPr>
              <w:jc w:val="right"/>
              <w:rPr>
                <w:lang w:val="uk-UA" w:eastAsia="uk-UA"/>
              </w:rPr>
            </w:pPr>
            <w:r w:rsidRPr="007C3964">
              <w:rPr>
                <w:lang w:val="uk-UA" w:eastAsia="uk-UA"/>
              </w:rPr>
              <w:t>643,9</w:t>
            </w:r>
          </w:p>
        </w:tc>
        <w:tc>
          <w:tcPr>
            <w:tcW w:w="1559" w:type="dxa"/>
            <w:tcBorders>
              <w:top w:val="nil"/>
              <w:left w:val="single" w:sz="4" w:space="0" w:color="auto"/>
              <w:bottom w:val="single" w:sz="4" w:space="0" w:color="auto"/>
              <w:right w:val="single" w:sz="4" w:space="0" w:color="auto"/>
            </w:tcBorders>
          </w:tcPr>
          <w:p w:rsidR="00B50251" w:rsidRPr="007C3964" w:rsidRDefault="00B50251" w:rsidP="00DD3F5A">
            <w:pPr>
              <w:jc w:val="right"/>
              <w:rPr>
                <w:lang w:val="uk-UA" w:eastAsia="uk-UA"/>
              </w:rPr>
            </w:pPr>
            <w:r>
              <w:rPr>
                <w:lang w:val="uk-UA" w:eastAsia="uk-UA"/>
              </w:rPr>
              <w:t>324,0</w:t>
            </w:r>
          </w:p>
        </w:tc>
        <w:tc>
          <w:tcPr>
            <w:tcW w:w="1843" w:type="dxa"/>
            <w:tcBorders>
              <w:top w:val="nil"/>
              <w:left w:val="single" w:sz="4" w:space="0" w:color="auto"/>
              <w:bottom w:val="single" w:sz="4" w:space="0" w:color="auto"/>
              <w:right w:val="single" w:sz="4" w:space="0" w:color="auto"/>
            </w:tcBorders>
          </w:tcPr>
          <w:p w:rsidR="00B50251" w:rsidRPr="007C3964" w:rsidRDefault="00B50251" w:rsidP="00DD3F5A">
            <w:pPr>
              <w:jc w:val="right"/>
              <w:rPr>
                <w:lang w:val="uk-UA" w:eastAsia="uk-UA"/>
              </w:rPr>
            </w:pPr>
            <w:r>
              <w:rPr>
                <w:lang w:val="uk-UA" w:eastAsia="uk-UA"/>
              </w:rPr>
              <w:t>+319,9</w:t>
            </w:r>
          </w:p>
        </w:tc>
      </w:tr>
      <w:tr w:rsidR="00B50251" w:rsidRPr="007C3964" w:rsidTr="00DD3F5A">
        <w:trPr>
          <w:trHeight w:val="264"/>
        </w:trPr>
        <w:tc>
          <w:tcPr>
            <w:tcW w:w="561" w:type="dxa"/>
            <w:tcBorders>
              <w:top w:val="nil"/>
              <w:left w:val="single" w:sz="4" w:space="0" w:color="auto"/>
              <w:bottom w:val="single" w:sz="4" w:space="0" w:color="auto"/>
              <w:right w:val="single" w:sz="4" w:space="0" w:color="auto"/>
            </w:tcBorders>
            <w:noWrap/>
            <w:vAlign w:val="bottom"/>
            <w:hideMark/>
          </w:tcPr>
          <w:p w:rsidR="00B50251" w:rsidRPr="007C3964" w:rsidRDefault="00B50251" w:rsidP="00DD3F5A">
            <w:pPr>
              <w:jc w:val="center"/>
              <w:rPr>
                <w:lang w:val="uk-UA" w:eastAsia="uk-UA"/>
              </w:rPr>
            </w:pPr>
            <w:r w:rsidRPr="007C3964">
              <w:rPr>
                <w:lang w:val="uk-UA" w:eastAsia="uk-UA"/>
              </w:rPr>
              <w:t>3</w:t>
            </w:r>
          </w:p>
        </w:tc>
        <w:tc>
          <w:tcPr>
            <w:tcW w:w="3409" w:type="dxa"/>
            <w:tcBorders>
              <w:top w:val="nil"/>
              <w:left w:val="nil"/>
              <w:bottom w:val="single" w:sz="4" w:space="0" w:color="auto"/>
              <w:right w:val="single" w:sz="4" w:space="0" w:color="auto"/>
            </w:tcBorders>
            <w:vAlign w:val="center"/>
            <w:hideMark/>
          </w:tcPr>
          <w:p w:rsidR="00B50251" w:rsidRPr="007C3964" w:rsidRDefault="00B50251" w:rsidP="00DD3F5A">
            <w:pPr>
              <w:rPr>
                <w:lang w:val="uk-UA" w:eastAsia="uk-UA"/>
              </w:rPr>
            </w:pPr>
            <w:r w:rsidRPr="007C3964">
              <w:rPr>
                <w:lang w:val="uk-UA" w:eastAsia="uk-UA"/>
              </w:rPr>
              <w:t>ТОВ "ЕКО"</w:t>
            </w:r>
          </w:p>
        </w:tc>
        <w:tc>
          <w:tcPr>
            <w:tcW w:w="1700" w:type="dxa"/>
            <w:tcBorders>
              <w:top w:val="nil"/>
              <w:left w:val="single" w:sz="4" w:space="0" w:color="auto"/>
              <w:bottom w:val="single" w:sz="4" w:space="0" w:color="auto"/>
              <w:right w:val="single" w:sz="4" w:space="0" w:color="auto"/>
            </w:tcBorders>
            <w:vAlign w:val="center"/>
            <w:hideMark/>
          </w:tcPr>
          <w:p w:rsidR="00B50251" w:rsidRPr="007C3964" w:rsidRDefault="00B50251" w:rsidP="00DD3F5A">
            <w:pPr>
              <w:jc w:val="right"/>
              <w:rPr>
                <w:lang w:val="uk-UA" w:eastAsia="uk-UA"/>
              </w:rPr>
            </w:pPr>
            <w:r w:rsidRPr="007C3964">
              <w:rPr>
                <w:lang w:val="uk-UA" w:eastAsia="uk-UA"/>
              </w:rPr>
              <w:t>488,6</w:t>
            </w:r>
          </w:p>
        </w:tc>
        <w:tc>
          <w:tcPr>
            <w:tcW w:w="1559" w:type="dxa"/>
            <w:tcBorders>
              <w:top w:val="nil"/>
              <w:left w:val="single" w:sz="4" w:space="0" w:color="auto"/>
              <w:bottom w:val="single" w:sz="4" w:space="0" w:color="auto"/>
              <w:right w:val="single" w:sz="4" w:space="0" w:color="auto"/>
            </w:tcBorders>
          </w:tcPr>
          <w:p w:rsidR="00B50251" w:rsidRPr="007C3964" w:rsidRDefault="00B50251" w:rsidP="00DD3F5A">
            <w:pPr>
              <w:jc w:val="right"/>
              <w:rPr>
                <w:lang w:val="uk-UA" w:eastAsia="uk-UA"/>
              </w:rPr>
            </w:pPr>
            <w:r>
              <w:rPr>
                <w:lang w:val="uk-UA" w:eastAsia="uk-UA"/>
              </w:rPr>
              <w:t>439,8</w:t>
            </w:r>
          </w:p>
        </w:tc>
        <w:tc>
          <w:tcPr>
            <w:tcW w:w="1843" w:type="dxa"/>
            <w:tcBorders>
              <w:top w:val="nil"/>
              <w:left w:val="single" w:sz="4" w:space="0" w:color="auto"/>
              <w:bottom w:val="single" w:sz="4" w:space="0" w:color="auto"/>
              <w:right w:val="single" w:sz="4" w:space="0" w:color="auto"/>
            </w:tcBorders>
          </w:tcPr>
          <w:p w:rsidR="00B50251" w:rsidRPr="007C3964" w:rsidRDefault="00B50251" w:rsidP="00DD3F5A">
            <w:pPr>
              <w:jc w:val="right"/>
              <w:rPr>
                <w:lang w:val="uk-UA" w:eastAsia="uk-UA"/>
              </w:rPr>
            </w:pPr>
            <w:r>
              <w:rPr>
                <w:lang w:val="uk-UA" w:eastAsia="uk-UA"/>
              </w:rPr>
              <w:t>+48,8</w:t>
            </w:r>
          </w:p>
        </w:tc>
      </w:tr>
      <w:tr w:rsidR="00B50251" w:rsidRPr="007C3964" w:rsidTr="00DD3F5A">
        <w:trPr>
          <w:trHeight w:val="264"/>
        </w:trPr>
        <w:tc>
          <w:tcPr>
            <w:tcW w:w="561" w:type="dxa"/>
            <w:tcBorders>
              <w:top w:val="nil"/>
              <w:left w:val="single" w:sz="4" w:space="0" w:color="auto"/>
              <w:bottom w:val="single" w:sz="4" w:space="0" w:color="auto"/>
              <w:right w:val="single" w:sz="4" w:space="0" w:color="auto"/>
            </w:tcBorders>
            <w:noWrap/>
            <w:vAlign w:val="bottom"/>
            <w:hideMark/>
          </w:tcPr>
          <w:p w:rsidR="00B50251" w:rsidRPr="007C3964" w:rsidRDefault="00B50251" w:rsidP="00DD3F5A">
            <w:pPr>
              <w:jc w:val="center"/>
              <w:rPr>
                <w:lang w:val="uk-UA" w:eastAsia="uk-UA"/>
              </w:rPr>
            </w:pPr>
            <w:r w:rsidRPr="007C3964">
              <w:rPr>
                <w:lang w:val="uk-UA" w:eastAsia="uk-UA"/>
              </w:rPr>
              <w:t>4</w:t>
            </w:r>
          </w:p>
        </w:tc>
        <w:tc>
          <w:tcPr>
            <w:tcW w:w="3409" w:type="dxa"/>
            <w:tcBorders>
              <w:top w:val="nil"/>
              <w:left w:val="nil"/>
              <w:bottom w:val="single" w:sz="4" w:space="0" w:color="auto"/>
              <w:right w:val="single" w:sz="4" w:space="0" w:color="auto"/>
            </w:tcBorders>
            <w:vAlign w:val="center"/>
            <w:hideMark/>
          </w:tcPr>
          <w:p w:rsidR="00B50251" w:rsidRPr="007C3964" w:rsidRDefault="00B50251" w:rsidP="00DD3F5A">
            <w:pPr>
              <w:rPr>
                <w:lang w:val="uk-UA" w:eastAsia="uk-UA"/>
              </w:rPr>
            </w:pPr>
            <w:r w:rsidRPr="007C3964">
              <w:rPr>
                <w:lang w:val="uk-UA" w:eastAsia="uk-UA"/>
              </w:rPr>
              <w:t>ТОВ "АТБ-МАРКЕТ"</w:t>
            </w:r>
          </w:p>
        </w:tc>
        <w:tc>
          <w:tcPr>
            <w:tcW w:w="1700" w:type="dxa"/>
            <w:tcBorders>
              <w:top w:val="nil"/>
              <w:left w:val="single" w:sz="4" w:space="0" w:color="auto"/>
              <w:bottom w:val="single" w:sz="4" w:space="0" w:color="auto"/>
              <w:right w:val="single" w:sz="4" w:space="0" w:color="auto"/>
            </w:tcBorders>
            <w:vAlign w:val="center"/>
            <w:hideMark/>
          </w:tcPr>
          <w:p w:rsidR="00B50251" w:rsidRPr="007C3964" w:rsidRDefault="00B50251" w:rsidP="00DD3F5A">
            <w:pPr>
              <w:jc w:val="right"/>
              <w:rPr>
                <w:lang w:val="uk-UA" w:eastAsia="uk-UA"/>
              </w:rPr>
            </w:pPr>
            <w:r w:rsidRPr="007C3964">
              <w:rPr>
                <w:lang w:val="uk-UA" w:eastAsia="uk-UA"/>
              </w:rPr>
              <w:t>457,6</w:t>
            </w:r>
          </w:p>
        </w:tc>
        <w:tc>
          <w:tcPr>
            <w:tcW w:w="1559" w:type="dxa"/>
            <w:tcBorders>
              <w:top w:val="nil"/>
              <w:left w:val="single" w:sz="4" w:space="0" w:color="auto"/>
              <w:bottom w:val="single" w:sz="4" w:space="0" w:color="auto"/>
              <w:right w:val="single" w:sz="4" w:space="0" w:color="auto"/>
            </w:tcBorders>
          </w:tcPr>
          <w:p w:rsidR="00B50251" w:rsidRPr="007C3964" w:rsidRDefault="00B50251" w:rsidP="00DD3F5A">
            <w:pPr>
              <w:jc w:val="right"/>
              <w:rPr>
                <w:lang w:val="uk-UA" w:eastAsia="uk-UA"/>
              </w:rPr>
            </w:pPr>
            <w:r>
              <w:rPr>
                <w:lang w:val="uk-UA" w:eastAsia="uk-UA"/>
              </w:rPr>
              <w:t>301,4</w:t>
            </w:r>
          </w:p>
        </w:tc>
        <w:tc>
          <w:tcPr>
            <w:tcW w:w="1843" w:type="dxa"/>
            <w:tcBorders>
              <w:top w:val="nil"/>
              <w:left w:val="single" w:sz="4" w:space="0" w:color="auto"/>
              <w:bottom w:val="single" w:sz="4" w:space="0" w:color="auto"/>
              <w:right w:val="single" w:sz="4" w:space="0" w:color="auto"/>
            </w:tcBorders>
          </w:tcPr>
          <w:p w:rsidR="00B50251" w:rsidRPr="007C3964" w:rsidRDefault="00B50251" w:rsidP="00DD3F5A">
            <w:pPr>
              <w:jc w:val="right"/>
              <w:rPr>
                <w:lang w:val="uk-UA" w:eastAsia="uk-UA"/>
              </w:rPr>
            </w:pPr>
            <w:r>
              <w:rPr>
                <w:lang w:val="uk-UA" w:eastAsia="uk-UA"/>
              </w:rPr>
              <w:t>+156,2</w:t>
            </w:r>
          </w:p>
        </w:tc>
      </w:tr>
      <w:tr w:rsidR="00B50251" w:rsidRPr="007C3964" w:rsidTr="00DD3F5A">
        <w:trPr>
          <w:trHeight w:val="264"/>
        </w:trPr>
        <w:tc>
          <w:tcPr>
            <w:tcW w:w="561" w:type="dxa"/>
            <w:tcBorders>
              <w:top w:val="nil"/>
              <w:left w:val="single" w:sz="4" w:space="0" w:color="auto"/>
              <w:bottom w:val="single" w:sz="4" w:space="0" w:color="auto"/>
              <w:right w:val="single" w:sz="4" w:space="0" w:color="auto"/>
            </w:tcBorders>
            <w:noWrap/>
            <w:vAlign w:val="bottom"/>
            <w:hideMark/>
          </w:tcPr>
          <w:p w:rsidR="00B50251" w:rsidRPr="007C3964" w:rsidRDefault="00B50251" w:rsidP="00DD3F5A">
            <w:pPr>
              <w:jc w:val="center"/>
              <w:rPr>
                <w:lang w:val="uk-UA" w:eastAsia="uk-UA"/>
              </w:rPr>
            </w:pPr>
            <w:r w:rsidRPr="007C3964">
              <w:rPr>
                <w:lang w:val="uk-UA" w:eastAsia="uk-UA"/>
              </w:rPr>
              <w:t>5</w:t>
            </w:r>
          </w:p>
        </w:tc>
        <w:tc>
          <w:tcPr>
            <w:tcW w:w="3409" w:type="dxa"/>
            <w:tcBorders>
              <w:top w:val="nil"/>
              <w:left w:val="nil"/>
              <w:bottom w:val="single" w:sz="4" w:space="0" w:color="auto"/>
              <w:right w:val="single" w:sz="4" w:space="0" w:color="auto"/>
            </w:tcBorders>
            <w:vAlign w:val="center"/>
            <w:hideMark/>
          </w:tcPr>
          <w:p w:rsidR="00B50251" w:rsidRPr="007C3964" w:rsidRDefault="00B50251" w:rsidP="00DD3F5A">
            <w:pPr>
              <w:rPr>
                <w:lang w:val="uk-UA" w:eastAsia="uk-UA"/>
              </w:rPr>
            </w:pPr>
            <w:r w:rsidRPr="007C3964">
              <w:rPr>
                <w:lang w:val="uk-UA" w:eastAsia="uk-UA"/>
              </w:rPr>
              <w:t>ТОВ "ЛК-ТРАНС"</w:t>
            </w:r>
          </w:p>
        </w:tc>
        <w:tc>
          <w:tcPr>
            <w:tcW w:w="1700" w:type="dxa"/>
            <w:tcBorders>
              <w:top w:val="nil"/>
              <w:left w:val="single" w:sz="4" w:space="0" w:color="auto"/>
              <w:bottom w:val="single" w:sz="4" w:space="0" w:color="auto"/>
              <w:right w:val="single" w:sz="4" w:space="0" w:color="auto"/>
            </w:tcBorders>
            <w:vAlign w:val="center"/>
            <w:hideMark/>
          </w:tcPr>
          <w:p w:rsidR="00B50251" w:rsidRPr="007C3964" w:rsidRDefault="00B50251" w:rsidP="00DD3F5A">
            <w:pPr>
              <w:jc w:val="right"/>
              <w:rPr>
                <w:lang w:val="uk-UA" w:eastAsia="uk-UA"/>
              </w:rPr>
            </w:pPr>
            <w:r w:rsidRPr="007C3964">
              <w:rPr>
                <w:lang w:val="uk-UA" w:eastAsia="uk-UA"/>
              </w:rPr>
              <w:t>247,8</w:t>
            </w:r>
          </w:p>
        </w:tc>
        <w:tc>
          <w:tcPr>
            <w:tcW w:w="1559" w:type="dxa"/>
            <w:tcBorders>
              <w:top w:val="nil"/>
              <w:left w:val="single" w:sz="4" w:space="0" w:color="auto"/>
              <w:bottom w:val="single" w:sz="4" w:space="0" w:color="auto"/>
              <w:right w:val="single" w:sz="4" w:space="0" w:color="auto"/>
            </w:tcBorders>
          </w:tcPr>
          <w:p w:rsidR="00B50251" w:rsidRPr="007C3964" w:rsidRDefault="00B50251" w:rsidP="00DD3F5A">
            <w:pPr>
              <w:jc w:val="right"/>
              <w:rPr>
                <w:lang w:val="uk-UA" w:eastAsia="uk-UA"/>
              </w:rPr>
            </w:pPr>
            <w:r>
              <w:rPr>
                <w:lang w:val="uk-UA" w:eastAsia="uk-UA"/>
              </w:rPr>
              <w:t>156,0</w:t>
            </w:r>
          </w:p>
        </w:tc>
        <w:tc>
          <w:tcPr>
            <w:tcW w:w="1843" w:type="dxa"/>
            <w:tcBorders>
              <w:top w:val="nil"/>
              <w:left w:val="single" w:sz="4" w:space="0" w:color="auto"/>
              <w:bottom w:val="single" w:sz="4" w:space="0" w:color="auto"/>
              <w:right w:val="single" w:sz="4" w:space="0" w:color="auto"/>
            </w:tcBorders>
          </w:tcPr>
          <w:p w:rsidR="00B50251" w:rsidRPr="007C3964" w:rsidRDefault="00B50251" w:rsidP="00DD3F5A">
            <w:pPr>
              <w:jc w:val="right"/>
              <w:rPr>
                <w:lang w:val="uk-UA" w:eastAsia="uk-UA"/>
              </w:rPr>
            </w:pPr>
            <w:r>
              <w:rPr>
                <w:lang w:val="uk-UA" w:eastAsia="uk-UA"/>
              </w:rPr>
              <w:t>+91,8</w:t>
            </w:r>
          </w:p>
        </w:tc>
      </w:tr>
      <w:tr w:rsidR="00B50251" w:rsidRPr="007C3964" w:rsidTr="00DD3F5A">
        <w:trPr>
          <w:trHeight w:val="264"/>
        </w:trPr>
        <w:tc>
          <w:tcPr>
            <w:tcW w:w="561" w:type="dxa"/>
            <w:tcBorders>
              <w:top w:val="nil"/>
              <w:left w:val="single" w:sz="4" w:space="0" w:color="auto"/>
              <w:bottom w:val="single" w:sz="4" w:space="0" w:color="auto"/>
              <w:right w:val="single" w:sz="4" w:space="0" w:color="auto"/>
            </w:tcBorders>
            <w:noWrap/>
            <w:vAlign w:val="bottom"/>
            <w:hideMark/>
          </w:tcPr>
          <w:p w:rsidR="00B50251" w:rsidRPr="007C3964" w:rsidRDefault="00B50251" w:rsidP="00DD3F5A">
            <w:pPr>
              <w:jc w:val="center"/>
              <w:rPr>
                <w:lang w:val="uk-UA" w:eastAsia="uk-UA"/>
              </w:rPr>
            </w:pPr>
            <w:r w:rsidRPr="007C3964">
              <w:rPr>
                <w:lang w:val="uk-UA" w:eastAsia="uk-UA"/>
              </w:rPr>
              <w:t>6</w:t>
            </w:r>
          </w:p>
        </w:tc>
        <w:tc>
          <w:tcPr>
            <w:tcW w:w="3409" w:type="dxa"/>
            <w:tcBorders>
              <w:top w:val="nil"/>
              <w:left w:val="nil"/>
              <w:bottom w:val="single" w:sz="4" w:space="0" w:color="auto"/>
              <w:right w:val="single" w:sz="4" w:space="0" w:color="auto"/>
            </w:tcBorders>
            <w:vAlign w:val="center"/>
            <w:hideMark/>
          </w:tcPr>
          <w:p w:rsidR="00B50251" w:rsidRPr="007C3964" w:rsidRDefault="00B50251" w:rsidP="00DD3F5A">
            <w:pPr>
              <w:rPr>
                <w:lang w:val="uk-UA" w:eastAsia="uk-UA"/>
              </w:rPr>
            </w:pPr>
            <w:r w:rsidRPr="007C3964">
              <w:rPr>
                <w:lang w:val="uk-UA" w:eastAsia="uk-UA"/>
              </w:rPr>
              <w:t>ТОВ «ЄВРО СМАРТ ПАУЕР»</w:t>
            </w:r>
          </w:p>
        </w:tc>
        <w:tc>
          <w:tcPr>
            <w:tcW w:w="1700" w:type="dxa"/>
            <w:tcBorders>
              <w:top w:val="nil"/>
              <w:left w:val="single" w:sz="4" w:space="0" w:color="auto"/>
              <w:bottom w:val="single" w:sz="4" w:space="0" w:color="auto"/>
              <w:right w:val="single" w:sz="4" w:space="0" w:color="auto"/>
            </w:tcBorders>
            <w:vAlign w:val="center"/>
            <w:hideMark/>
          </w:tcPr>
          <w:p w:rsidR="00B50251" w:rsidRPr="007C3964" w:rsidRDefault="00B50251" w:rsidP="00DD3F5A">
            <w:pPr>
              <w:jc w:val="right"/>
              <w:rPr>
                <w:lang w:val="uk-UA" w:eastAsia="uk-UA"/>
              </w:rPr>
            </w:pPr>
            <w:r w:rsidRPr="007C3964">
              <w:rPr>
                <w:lang w:val="uk-UA" w:eastAsia="uk-UA"/>
              </w:rPr>
              <w:t>217,5</w:t>
            </w:r>
          </w:p>
        </w:tc>
        <w:tc>
          <w:tcPr>
            <w:tcW w:w="1559" w:type="dxa"/>
            <w:tcBorders>
              <w:top w:val="nil"/>
              <w:left w:val="single" w:sz="4" w:space="0" w:color="auto"/>
              <w:bottom w:val="single" w:sz="4" w:space="0" w:color="auto"/>
              <w:right w:val="single" w:sz="4" w:space="0" w:color="auto"/>
            </w:tcBorders>
          </w:tcPr>
          <w:p w:rsidR="00B50251" w:rsidRPr="007C3964" w:rsidRDefault="00B50251" w:rsidP="00DD3F5A">
            <w:pPr>
              <w:jc w:val="right"/>
              <w:rPr>
                <w:lang w:val="uk-UA" w:eastAsia="uk-UA"/>
              </w:rPr>
            </w:pPr>
            <w:r>
              <w:rPr>
                <w:lang w:val="uk-UA" w:eastAsia="uk-UA"/>
              </w:rPr>
              <w:t>0,0</w:t>
            </w:r>
          </w:p>
        </w:tc>
        <w:tc>
          <w:tcPr>
            <w:tcW w:w="1843" w:type="dxa"/>
            <w:tcBorders>
              <w:top w:val="nil"/>
              <w:left w:val="single" w:sz="4" w:space="0" w:color="auto"/>
              <w:bottom w:val="single" w:sz="4" w:space="0" w:color="auto"/>
              <w:right w:val="single" w:sz="4" w:space="0" w:color="auto"/>
            </w:tcBorders>
          </w:tcPr>
          <w:p w:rsidR="00B50251" w:rsidRPr="007C3964" w:rsidRDefault="00B50251" w:rsidP="00DD3F5A">
            <w:pPr>
              <w:jc w:val="right"/>
              <w:rPr>
                <w:lang w:val="uk-UA" w:eastAsia="uk-UA"/>
              </w:rPr>
            </w:pPr>
            <w:r>
              <w:rPr>
                <w:lang w:val="uk-UA" w:eastAsia="uk-UA"/>
              </w:rPr>
              <w:t>+217,5</w:t>
            </w:r>
          </w:p>
        </w:tc>
      </w:tr>
      <w:tr w:rsidR="00B50251" w:rsidRPr="007C3964" w:rsidTr="00DD3F5A">
        <w:trPr>
          <w:trHeight w:val="264"/>
        </w:trPr>
        <w:tc>
          <w:tcPr>
            <w:tcW w:w="561" w:type="dxa"/>
            <w:tcBorders>
              <w:top w:val="nil"/>
              <w:left w:val="single" w:sz="4" w:space="0" w:color="auto"/>
              <w:bottom w:val="single" w:sz="4" w:space="0" w:color="auto"/>
              <w:right w:val="single" w:sz="4" w:space="0" w:color="auto"/>
            </w:tcBorders>
            <w:noWrap/>
            <w:vAlign w:val="bottom"/>
            <w:hideMark/>
          </w:tcPr>
          <w:p w:rsidR="00B50251" w:rsidRPr="007C3964" w:rsidRDefault="00B50251" w:rsidP="00DD3F5A">
            <w:pPr>
              <w:jc w:val="center"/>
              <w:rPr>
                <w:lang w:val="uk-UA" w:eastAsia="uk-UA"/>
              </w:rPr>
            </w:pPr>
            <w:r w:rsidRPr="007C3964">
              <w:rPr>
                <w:lang w:val="uk-UA" w:eastAsia="uk-UA"/>
              </w:rPr>
              <w:t>7</w:t>
            </w:r>
          </w:p>
        </w:tc>
        <w:tc>
          <w:tcPr>
            <w:tcW w:w="3409" w:type="dxa"/>
            <w:tcBorders>
              <w:top w:val="nil"/>
              <w:left w:val="nil"/>
              <w:bottom w:val="single" w:sz="4" w:space="0" w:color="auto"/>
              <w:right w:val="single" w:sz="4" w:space="0" w:color="auto"/>
            </w:tcBorders>
            <w:vAlign w:val="center"/>
            <w:hideMark/>
          </w:tcPr>
          <w:p w:rsidR="00B50251" w:rsidRPr="007C3964" w:rsidRDefault="00B50251" w:rsidP="00DD3F5A">
            <w:pPr>
              <w:rPr>
                <w:lang w:val="uk-UA" w:eastAsia="uk-UA"/>
              </w:rPr>
            </w:pPr>
            <w:r w:rsidRPr="007C3964">
              <w:rPr>
                <w:lang w:val="uk-UA" w:eastAsia="uk-UA"/>
              </w:rPr>
              <w:t>ТОВ "Тедіс Україна"</w:t>
            </w:r>
          </w:p>
        </w:tc>
        <w:tc>
          <w:tcPr>
            <w:tcW w:w="1700" w:type="dxa"/>
            <w:tcBorders>
              <w:top w:val="nil"/>
              <w:left w:val="single" w:sz="4" w:space="0" w:color="auto"/>
              <w:bottom w:val="single" w:sz="4" w:space="0" w:color="auto"/>
              <w:right w:val="single" w:sz="4" w:space="0" w:color="auto"/>
            </w:tcBorders>
            <w:vAlign w:val="center"/>
            <w:hideMark/>
          </w:tcPr>
          <w:p w:rsidR="00B50251" w:rsidRPr="007C3964" w:rsidRDefault="00B50251" w:rsidP="00DD3F5A">
            <w:pPr>
              <w:jc w:val="right"/>
              <w:rPr>
                <w:lang w:val="uk-UA" w:eastAsia="uk-UA"/>
              </w:rPr>
            </w:pPr>
            <w:r w:rsidRPr="007C3964">
              <w:rPr>
                <w:lang w:val="uk-UA" w:eastAsia="uk-UA"/>
              </w:rPr>
              <w:t>191,7</w:t>
            </w:r>
          </w:p>
        </w:tc>
        <w:tc>
          <w:tcPr>
            <w:tcW w:w="1559" w:type="dxa"/>
            <w:tcBorders>
              <w:top w:val="nil"/>
              <w:left w:val="single" w:sz="4" w:space="0" w:color="auto"/>
              <w:bottom w:val="single" w:sz="4" w:space="0" w:color="auto"/>
              <w:right w:val="single" w:sz="4" w:space="0" w:color="auto"/>
            </w:tcBorders>
          </w:tcPr>
          <w:p w:rsidR="00B50251" w:rsidRPr="007C3964" w:rsidRDefault="00B50251" w:rsidP="00DD3F5A">
            <w:pPr>
              <w:jc w:val="right"/>
              <w:rPr>
                <w:lang w:val="uk-UA" w:eastAsia="uk-UA"/>
              </w:rPr>
            </w:pPr>
            <w:r>
              <w:rPr>
                <w:lang w:val="uk-UA" w:eastAsia="uk-UA"/>
              </w:rPr>
              <w:t>225,2</w:t>
            </w:r>
          </w:p>
        </w:tc>
        <w:tc>
          <w:tcPr>
            <w:tcW w:w="1843" w:type="dxa"/>
            <w:tcBorders>
              <w:top w:val="nil"/>
              <w:left w:val="single" w:sz="4" w:space="0" w:color="auto"/>
              <w:bottom w:val="single" w:sz="4" w:space="0" w:color="auto"/>
              <w:right w:val="single" w:sz="4" w:space="0" w:color="auto"/>
            </w:tcBorders>
          </w:tcPr>
          <w:p w:rsidR="00B50251" w:rsidRPr="007C3964" w:rsidRDefault="00B50251" w:rsidP="00DD3F5A">
            <w:pPr>
              <w:jc w:val="right"/>
              <w:rPr>
                <w:lang w:val="uk-UA" w:eastAsia="uk-UA"/>
              </w:rPr>
            </w:pPr>
            <w:r>
              <w:rPr>
                <w:lang w:val="uk-UA" w:eastAsia="uk-UA"/>
              </w:rPr>
              <w:t>-33,5</w:t>
            </w:r>
          </w:p>
        </w:tc>
      </w:tr>
      <w:tr w:rsidR="00B50251" w:rsidRPr="007C3964" w:rsidTr="00DD3F5A">
        <w:trPr>
          <w:trHeight w:val="264"/>
        </w:trPr>
        <w:tc>
          <w:tcPr>
            <w:tcW w:w="561" w:type="dxa"/>
            <w:tcBorders>
              <w:top w:val="nil"/>
              <w:left w:val="single" w:sz="4" w:space="0" w:color="auto"/>
              <w:bottom w:val="single" w:sz="4" w:space="0" w:color="auto"/>
              <w:right w:val="single" w:sz="4" w:space="0" w:color="auto"/>
            </w:tcBorders>
            <w:noWrap/>
            <w:vAlign w:val="bottom"/>
            <w:hideMark/>
          </w:tcPr>
          <w:p w:rsidR="00B50251" w:rsidRPr="007C3964" w:rsidRDefault="00B50251" w:rsidP="00DD3F5A">
            <w:pPr>
              <w:jc w:val="center"/>
              <w:rPr>
                <w:lang w:val="uk-UA" w:eastAsia="uk-UA"/>
              </w:rPr>
            </w:pPr>
            <w:r w:rsidRPr="007C3964">
              <w:rPr>
                <w:lang w:val="uk-UA" w:eastAsia="uk-UA"/>
              </w:rPr>
              <w:t>8</w:t>
            </w:r>
          </w:p>
        </w:tc>
        <w:tc>
          <w:tcPr>
            <w:tcW w:w="3409" w:type="dxa"/>
            <w:tcBorders>
              <w:top w:val="nil"/>
              <w:left w:val="nil"/>
              <w:bottom w:val="single" w:sz="4" w:space="0" w:color="auto"/>
              <w:right w:val="single" w:sz="4" w:space="0" w:color="auto"/>
            </w:tcBorders>
            <w:vAlign w:val="center"/>
            <w:hideMark/>
          </w:tcPr>
          <w:p w:rsidR="00B50251" w:rsidRPr="007C3964" w:rsidRDefault="00B50251" w:rsidP="00DD3F5A">
            <w:pPr>
              <w:rPr>
                <w:lang w:val="uk-UA" w:eastAsia="uk-UA"/>
              </w:rPr>
            </w:pPr>
            <w:r w:rsidRPr="007C3964">
              <w:rPr>
                <w:lang w:val="uk-UA" w:eastAsia="uk-UA"/>
              </w:rPr>
              <w:t>ТОВ «ТОРГОВИЙ ДІМ « МЕДІАТРЕЙДІНГ»»</w:t>
            </w:r>
          </w:p>
        </w:tc>
        <w:tc>
          <w:tcPr>
            <w:tcW w:w="1700" w:type="dxa"/>
            <w:tcBorders>
              <w:top w:val="nil"/>
              <w:left w:val="single" w:sz="4" w:space="0" w:color="auto"/>
              <w:bottom w:val="single" w:sz="4" w:space="0" w:color="auto"/>
              <w:right w:val="single" w:sz="4" w:space="0" w:color="auto"/>
            </w:tcBorders>
            <w:vAlign w:val="center"/>
            <w:hideMark/>
          </w:tcPr>
          <w:p w:rsidR="00B50251" w:rsidRPr="007C3964" w:rsidRDefault="00B50251" w:rsidP="00DD3F5A">
            <w:pPr>
              <w:jc w:val="right"/>
              <w:rPr>
                <w:lang w:val="uk-UA" w:eastAsia="uk-UA"/>
              </w:rPr>
            </w:pPr>
            <w:r w:rsidRPr="007C3964">
              <w:rPr>
                <w:lang w:val="uk-UA" w:eastAsia="uk-UA"/>
              </w:rPr>
              <w:t>151,7</w:t>
            </w:r>
          </w:p>
        </w:tc>
        <w:tc>
          <w:tcPr>
            <w:tcW w:w="1559" w:type="dxa"/>
            <w:tcBorders>
              <w:top w:val="nil"/>
              <w:left w:val="single" w:sz="4" w:space="0" w:color="auto"/>
              <w:bottom w:val="single" w:sz="4" w:space="0" w:color="auto"/>
              <w:right w:val="single" w:sz="4" w:space="0" w:color="auto"/>
            </w:tcBorders>
          </w:tcPr>
          <w:p w:rsidR="00B50251" w:rsidRPr="007C3964" w:rsidRDefault="00B50251" w:rsidP="00DD3F5A">
            <w:pPr>
              <w:jc w:val="right"/>
              <w:rPr>
                <w:lang w:val="uk-UA" w:eastAsia="uk-UA"/>
              </w:rPr>
            </w:pPr>
            <w:r>
              <w:rPr>
                <w:lang w:val="uk-UA" w:eastAsia="uk-UA"/>
              </w:rPr>
              <w:t>0,0</w:t>
            </w:r>
          </w:p>
        </w:tc>
        <w:tc>
          <w:tcPr>
            <w:tcW w:w="1843" w:type="dxa"/>
            <w:tcBorders>
              <w:top w:val="nil"/>
              <w:left w:val="single" w:sz="4" w:space="0" w:color="auto"/>
              <w:bottom w:val="single" w:sz="4" w:space="0" w:color="auto"/>
              <w:right w:val="single" w:sz="4" w:space="0" w:color="auto"/>
            </w:tcBorders>
          </w:tcPr>
          <w:p w:rsidR="00B50251" w:rsidRPr="007C3964" w:rsidRDefault="00B50251" w:rsidP="00DD3F5A">
            <w:pPr>
              <w:jc w:val="right"/>
              <w:rPr>
                <w:lang w:val="uk-UA" w:eastAsia="uk-UA"/>
              </w:rPr>
            </w:pPr>
            <w:r>
              <w:rPr>
                <w:lang w:val="uk-UA" w:eastAsia="uk-UA"/>
              </w:rPr>
              <w:t>+151,7</w:t>
            </w:r>
          </w:p>
        </w:tc>
      </w:tr>
      <w:tr w:rsidR="00B50251" w:rsidRPr="007C3964" w:rsidTr="00DD3F5A">
        <w:trPr>
          <w:trHeight w:val="264"/>
        </w:trPr>
        <w:tc>
          <w:tcPr>
            <w:tcW w:w="561" w:type="dxa"/>
            <w:tcBorders>
              <w:top w:val="nil"/>
              <w:left w:val="single" w:sz="4" w:space="0" w:color="auto"/>
              <w:bottom w:val="single" w:sz="4" w:space="0" w:color="auto"/>
              <w:right w:val="single" w:sz="4" w:space="0" w:color="auto"/>
            </w:tcBorders>
            <w:noWrap/>
            <w:vAlign w:val="bottom"/>
            <w:hideMark/>
          </w:tcPr>
          <w:p w:rsidR="00B50251" w:rsidRPr="007C3964" w:rsidRDefault="00B50251" w:rsidP="00DD3F5A">
            <w:pPr>
              <w:jc w:val="center"/>
              <w:rPr>
                <w:lang w:val="uk-UA" w:eastAsia="uk-UA"/>
              </w:rPr>
            </w:pPr>
            <w:r w:rsidRPr="007C3964">
              <w:rPr>
                <w:lang w:val="uk-UA" w:eastAsia="uk-UA"/>
              </w:rPr>
              <w:t>9</w:t>
            </w:r>
          </w:p>
        </w:tc>
        <w:tc>
          <w:tcPr>
            <w:tcW w:w="3409" w:type="dxa"/>
            <w:tcBorders>
              <w:top w:val="nil"/>
              <w:left w:val="nil"/>
              <w:bottom w:val="single" w:sz="4" w:space="0" w:color="auto"/>
              <w:right w:val="single" w:sz="4" w:space="0" w:color="auto"/>
            </w:tcBorders>
            <w:vAlign w:val="center"/>
            <w:hideMark/>
          </w:tcPr>
          <w:p w:rsidR="00B50251" w:rsidRPr="007C3964" w:rsidRDefault="00B50251" w:rsidP="00DD3F5A">
            <w:pPr>
              <w:rPr>
                <w:lang w:val="uk-UA" w:eastAsia="uk-UA"/>
              </w:rPr>
            </w:pPr>
            <w:r w:rsidRPr="007C3964">
              <w:rPr>
                <w:lang w:val="uk-UA" w:eastAsia="uk-UA"/>
              </w:rPr>
              <w:t>ТОВ "АРІТЕЙЛ"</w:t>
            </w:r>
          </w:p>
        </w:tc>
        <w:tc>
          <w:tcPr>
            <w:tcW w:w="1700" w:type="dxa"/>
            <w:tcBorders>
              <w:top w:val="nil"/>
              <w:left w:val="single" w:sz="4" w:space="0" w:color="auto"/>
              <w:bottom w:val="single" w:sz="4" w:space="0" w:color="auto"/>
              <w:right w:val="single" w:sz="4" w:space="0" w:color="auto"/>
            </w:tcBorders>
            <w:vAlign w:val="center"/>
            <w:hideMark/>
          </w:tcPr>
          <w:p w:rsidR="00B50251" w:rsidRPr="007C3964" w:rsidRDefault="00B50251" w:rsidP="00DD3F5A">
            <w:pPr>
              <w:jc w:val="right"/>
              <w:rPr>
                <w:lang w:val="uk-UA" w:eastAsia="uk-UA"/>
              </w:rPr>
            </w:pPr>
            <w:r w:rsidRPr="007C3964">
              <w:rPr>
                <w:lang w:val="uk-UA" w:eastAsia="uk-UA"/>
              </w:rPr>
              <w:t>135,1</w:t>
            </w:r>
          </w:p>
        </w:tc>
        <w:tc>
          <w:tcPr>
            <w:tcW w:w="1559" w:type="dxa"/>
            <w:tcBorders>
              <w:top w:val="nil"/>
              <w:left w:val="single" w:sz="4" w:space="0" w:color="auto"/>
              <w:bottom w:val="single" w:sz="4" w:space="0" w:color="auto"/>
              <w:right w:val="single" w:sz="4" w:space="0" w:color="auto"/>
            </w:tcBorders>
          </w:tcPr>
          <w:p w:rsidR="00B50251" w:rsidRPr="007C3964" w:rsidRDefault="00B50251" w:rsidP="00DD3F5A">
            <w:pPr>
              <w:jc w:val="right"/>
              <w:rPr>
                <w:lang w:val="uk-UA" w:eastAsia="uk-UA"/>
              </w:rPr>
            </w:pPr>
            <w:r>
              <w:rPr>
                <w:lang w:val="uk-UA" w:eastAsia="uk-UA"/>
              </w:rPr>
              <w:t>53,0</w:t>
            </w:r>
          </w:p>
        </w:tc>
        <w:tc>
          <w:tcPr>
            <w:tcW w:w="1843" w:type="dxa"/>
            <w:tcBorders>
              <w:top w:val="nil"/>
              <w:left w:val="single" w:sz="4" w:space="0" w:color="auto"/>
              <w:bottom w:val="single" w:sz="4" w:space="0" w:color="auto"/>
              <w:right w:val="single" w:sz="4" w:space="0" w:color="auto"/>
            </w:tcBorders>
          </w:tcPr>
          <w:p w:rsidR="00B50251" w:rsidRPr="007C3964" w:rsidRDefault="00B50251" w:rsidP="00DD3F5A">
            <w:pPr>
              <w:jc w:val="right"/>
              <w:rPr>
                <w:lang w:val="uk-UA" w:eastAsia="uk-UA"/>
              </w:rPr>
            </w:pPr>
            <w:r>
              <w:rPr>
                <w:lang w:val="uk-UA" w:eastAsia="uk-UA"/>
              </w:rPr>
              <w:t>+82,7</w:t>
            </w:r>
          </w:p>
        </w:tc>
      </w:tr>
      <w:tr w:rsidR="00B50251" w:rsidRPr="007C3964" w:rsidTr="00DD3F5A">
        <w:trPr>
          <w:trHeight w:val="264"/>
        </w:trPr>
        <w:tc>
          <w:tcPr>
            <w:tcW w:w="561" w:type="dxa"/>
            <w:tcBorders>
              <w:top w:val="nil"/>
              <w:left w:val="single" w:sz="4" w:space="0" w:color="auto"/>
              <w:bottom w:val="single" w:sz="4" w:space="0" w:color="auto"/>
              <w:right w:val="single" w:sz="4" w:space="0" w:color="auto"/>
            </w:tcBorders>
            <w:noWrap/>
            <w:vAlign w:val="bottom"/>
            <w:hideMark/>
          </w:tcPr>
          <w:p w:rsidR="00B50251" w:rsidRPr="007C3964" w:rsidRDefault="00B50251" w:rsidP="00DD3F5A">
            <w:pPr>
              <w:jc w:val="center"/>
              <w:rPr>
                <w:lang w:val="uk-UA" w:eastAsia="uk-UA"/>
              </w:rPr>
            </w:pPr>
            <w:r w:rsidRPr="007C3964">
              <w:rPr>
                <w:lang w:val="uk-UA" w:eastAsia="uk-UA"/>
              </w:rPr>
              <w:t>10</w:t>
            </w:r>
          </w:p>
        </w:tc>
        <w:tc>
          <w:tcPr>
            <w:tcW w:w="3409" w:type="dxa"/>
            <w:tcBorders>
              <w:top w:val="nil"/>
              <w:left w:val="nil"/>
              <w:bottom w:val="single" w:sz="4" w:space="0" w:color="auto"/>
              <w:right w:val="single" w:sz="4" w:space="0" w:color="auto"/>
            </w:tcBorders>
            <w:vAlign w:val="center"/>
            <w:hideMark/>
          </w:tcPr>
          <w:p w:rsidR="00B50251" w:rsidRPr="007C3964" w:rsidRDefault="00B50251" w:rsidP="00DD3F5A">
            <w:pPr>
              <w:rPr>
                <w:lang w:val="uk-UA" w:eastAsia="uk-UA"/>
              </w:rPr>
            </w:pPr>
            <w:r w:rsidRPr="007C3964">
              <w:rPr>
                <w:lang w:val="uk-UA" w:eastAsia="uk-UA"/>
              </w:rPr>
              <w:t>ПрАТ «Нова Лінія»</w:t>
            </w:r>
          </w:p>
        </w:tc>
        <w:tc>
          <w:tcPr>
            <w:tcW w:w="1700" w:type="dxa"/>
            <w:tcBorders>
              <w:top w:val="nil"/>
              <w:left w:val="single" w:sz="4" w:space="0" w:color="auto"/>
              <w:bottom w:val="single" w:sz="4" w:space="0" w:color="auto"/>
              <w:right w:val="single" w:sz="4" w:space="0" w:color="auto"/>
            </w:tcBorders>
            <w:vAlign w:val="center"/>
            <w:hideMark/>
          </w:tcPr>
          <w:p w:rsidR="00B50251" w:rsidRPr="007C3964" w:rsidRDefault="00B50251" w:rsidP="00DD3F5A">
            <w:pPr>
              <w:jc w:val="right"/>
              <w:rPr>
                <w:lang w:val="uk-UA" w:eastAsia="uk-UA"/>
              </w:rPr>
            </w:pPr>
            <w:r w:rsidRPr="007C3964">
              <w:rPr>
                <w:lang w:val="uk-UA" w:eastAsia="uk-UA"/>
              </w:rPr>
              <w:t>108,6</w:t>
            </w:r>
          </w:p>
        </w:tc>
        <w:tc>
          <w:tcPr>
            <w:tcW w:w="1559" w:type="dxa"/>
            <w:tcBorders>
              <w:top w:val="nil"/>
              <w:left w:val="single" w:sz="4" w:space="0" w:color="auto"/>
              <w:bottom w:val="single" w:sz="4" w:space="0" w:color="auto"/>
              <w:right w:val="single" w:sz="4" w:space="0" w:color="auto"/>
            </w:tcBorders>
          </w:tcPr>
          <w:p w:rsidR="00B50251" w:rsidRPr="007C3964" w:rsidRDefault="00B50251" w:rsidP="00DD3F5A">
            <w:pPr>
              <w:jc w:val="right"/>
              <w:rPr>
                <w:lang w:val="uk-UA" w:eastAsia="uk-UA"/>
              </w:rPr>
            </w:pPr>
            <w:r>
              <w:rPr>
                <w:lang w:val="uk-UA" w:eastAsia="uk-UA"/>
              </w:rPr>
              <w:t>5,5</w:t>
            </w:r>
          </w:p>
        </w:tc>
        <w:tc>
          <w:tcPr>
            <w:tcW w:w="1843" w:type="dxa"/>
            <w:tcBorders>
              <w:top w:val="nil"/>
              <w:left w:val="single" w:sz="4" w:space="0" w:color="auto"/>
              <w:bottom w:val="single" w:sz="4" w:space="0" w:color="auto"/>
              <w:right w:val="single" w:sz="4" w:space="0" w:color="auto"/>
            </w:tcBorders>
          </w:tcPr>
          <w:p w:rsidR="00B50251" w:rsidRPr="007C3964" w:rsidRDefault="00B50251" w:rsidP="00DD3F5A">
            <w:pPr>
              <w:jc w:val="right"/>
              <w:rPr>
                <w:lang w:val="uk-UA" w:eastAsia="uk-UA"/>
              </w:rPr>
            </w:pPr>
            <w:r>
              <w:rPr>
                <w:lang w:val="uk-UA" w:eastAsia="uk-UA"/>
              </w:rPr>
              <w:t>+103,1</w:t>
            </w:r>
          </w:p>
        </w:tc>
      </w:tr>
      <w:tr w:rsidR="00B50251" w:rsidRPr="007C3964" w:rsidTr="00DD3F5A">
        <w:trPr>
          <w:trHeight w:val="264"/>
        </w:trPr>
        <w:tc>
          <w:tcPr>
            <w:tcW w:w="561" w:type="dxa"/>
            <w:tcBorders>
              <w:top w:val="nil"/>
              <w:left w:val="single" w:sz="4" w:space="0" w:color="auto"/>
              <w:bottom w:val="single" w:sz="4" w:space="0" w:color="auto"/>
              <w:right w:val="single" w:sz="4" w:space="0" w:color="auto"/>
            </w:tcBorders>
            <w:noWrap/>
            <w:vAlign w:val="bottom"/>
            <w:hideMark/>
          </w:tcPr>
          <w:p w:rsidR="00B50251" w:rsidRPr="007C3964" w:rsidRDefault="00B50251" w:rsidP="00DD3F5A">
            <w:pPr>
              <w:jc w:val="center"/>
              <w:rPr>
                <w:lang w:val="uk-UA" w:eastAsia="uk-UA"/>
              </w:rPr>
            </w:pPr>
            <w:r w:rsidRPr="007C3964">
              <w:rPr>
                <w:lang w:val="uk-UA" w:eastAsia="uk-UA"/>
              </w:rPr>
              <w:t>11</w:t>
            </w:r>
          </w:p>
        </w:tc>
        <w:tc>
          <w:tcPr>
            <w:tcW w:w="3409" w:type="dxa"/>
            <w:tcBorders>
              <w:top w:val="nil"/>
              <w:left w:val="nil"/>
              <w:bottom w:val="single" w:sz="4" w:space="0" w:color="auto"/>
              <w:right w:val="single" w:sz="4" w:space="0" w:color="auto"/>
            </w:tcBorders>
            <w:vAlign w:val="center"/>
            <w:hideMark/>
          </w:tcPr>
          <w:p w:rsidR="00B50251" w:rsidRPr="007C3964" w:rsidRDefault="00B50251" w:rsidP="00DD3F5A">
            <w:pPr>
              <w:rPr>
                <w:lang w:val="uk-UA" w:eastAsia="uk-UA"/>
              </w:rPr>
            </w:pPr>
            <w:r w:rsidRPr="007C3964">
              <w:rPr>
                <w:lang w:val="uk-UA" w:eastAsia="uk-UA"/>
              </w:rPr>
              <w:t>ТОВ «РІДО ГРУП»</w:t>
            </w:r>
          </w:p>
        </w:tc>
        <w:tc>
          <w:tcPr>
            <w:tcW w:w="1700" w:type="dxa"/>
            <w:tcBorders>
              <w:top w:val="nil"/>
              <w:left w:val="single" w:sz="4" w:space="0" w:color="auto"/>
              <w:bottom w:val="single" w:sz="4" w:space="0" w:color="auto"/>
              <w:right w:val="single" w:sz="4" w:space="0" w:color="auto"/>
            </w:tcBorders>
            <w:vAlign w:val="center"/>
            <w:hideMark/>
          </w:tcPr>
          <w:p w:rsidR="00B50251" w:rsidRPr="007C3964" w:rsidRDefault="00B50251" w:rsidP="00DD3F5A">
            <w:pPr>
              <w:jc w:val="right"/>
              <w:rPr>
                <w:lang w:val="uk-UA" w:eastAsia="uk-UA"/>
              </w:rPr>
            </w:pPr>
            <w:r w:rsidRPr="007C3964">
              <w:rPr>
                <w:lang w:val="uk-UA" w:eastAsia="uk-UA"/>
              </w:rPr>
              <w:t>100,6</w:t>
            </w:r>
          </w:p>
        </w:tc>
        <w:tc>
          <w:tcPr>
            <w:tcW w:w="1559" w:type="dxa"/>
            <w:tcBorders>
              <w:top w:val="nil"/>
              <w:left w:val="single" w:sz="4" w:space="0" w:color="auto"/>
              <w:bottom w:val="single" w:sz="4" w:space="0" w:color="auto"/>
              <w:right w:val="single" w:sz="4" w:space="0" w:color="auto"/>
            </w:tcBorders>
          </w:tcPr>
          <w:p w:rsidR="00B50251" w:rsidRPr="007C3964" w:rsidRDefault="00B50251" w:rsidP="00DD3F5A">
            <w:pPr>
              <w:jc w:val="right"/>
              <w:rPr>
                <w:lang w:val="uk-UA" w:eastAsia="uk-UA"/>
              </w:rPr>
            </w:pPr>
            <w:r>
              <w:rPr>
                <w:lang w:val="uk-UA" w:eastAsia="uk-UA"/>
              </w:rPr>
              <w:t>0,0</w:t>
            </w:r>
          </w:p>
        </w:tc>
        <w:tc>
          <w:tcPr>
            <w:tcW w:w="1843" w:type="dxa"/>
            <w:tcBorders>
              <w:top w:val="nil"/>
              <w:left w:val="single" w:sz="4" w:space="0" w:color="auto"/>
              <w:bottom w:val="single" w:sz="4" w:space="0" w:color="auto"/>
              <w:right w:val="single" w:sz="4" w:space="0" w:color="auto"/>
            </w:tcBorders>
          </w:tcPr>
          <w:p w:rsidR="00B50251" w:rsidRPr="007C3964" w:rsidRDefault="00B50251" w:rsidP="00DD3F5A">
            <w:pPr>
              <w:jc w:val="right"/>
              <w:rPr>
                <w:lang w:val="uk-UA" w:eastAsia="uk-UA"/>
              </w:rPr>
            </w:pPr>
            <w:r>
              <w:rPr>
                <w:lang w:val="uk-UA" w:eastAsia="uk-UA"/>
              </w:rPr>
              <w:t>+100,6</w:t>
            </w:r>
          </w:p>
        </w:tc>
      </w:tr>
      <w:tr w:rsidR="00B50251" w:rsidRPr="007C3964" w:rsidTr="00DD3F5A">
        <w:trPr>
          <w:trHeight w:val="264"/>
        </w:trPr>
        <w:tc>
          <w:tcPr>
            <w:tcW w:w="561" w:type="dxa"/>
            <w:tcBorders>
              <w:top w:val="nil"/>
              <w:left w:val="single" w:sz="4" w:space="0" w:color="auto"/>
              <w:bottom w:val="single" w:sz="4" w:space="0" w:color="auto"/>
              <w:right w:val="single" w:sz="4" w:space="0" w:color="auto"/>
            </w:tcBorders>
            <w:noWrap/>
            <w:vAlign w:val="bottom"/>
            <w:hideMark/>
          </w:tcPr>
          <w:p w:rsidR="00B50251" w:rsidRPr="007C3964" w:rsidRDefault="00B50251" w:rsidP="00DD3F5A">
            <w:pPr>
              <w:jc w:val="center"/>
              <w:rPr>
                <w:lang w:val="uk-UA" w:eastAsia="uk-UA"/>
              </w:rPr>
            </w:pPr>
            <w:r w:rsidRPr="007C3964">
              <w:rPr>
                <w:lang w:val="uk-UA" w:eastAsia="uk-UA"/>
              </w:rPr>
              <w:t>12</w:t>
            </w:r>
          </w:p>
        </w:tc>
        <w:tc>
          <w:tcPr>
            <w:tcW w:w="3409" w:type="dxa"/>
            <w:tcBorders>
              <w:top w:val="nil"/>
              <w:left w:val="nil"/>
              <w:bottom w:val="single" w:sz="4" w:space="0" w:color="auto"/>
              <w:right w:val="single" w:sz="4" w:space="0" w:color="auto"/>
            </w:tcBorders>
            <w:vAlign w:val="center"/>
            <w:hideMark/>
          </w:tcPr>
          <w:p w:rsidR="00B50251" w:rsidRPr="007C3964" w:rsidRDefault="00B50251" w:rsidP="00DD3F5A">
            <w:pPr>
              <w:rPr>
                <w:lang w:val="uk-UA" w:eastAsia="uk-UA"/>
              </w:rPr>
            </w:pPr>
            <w:r w:rsidRPr="007C3964">
              <w:rPr>
                <w:lang w:val="uk-UA" w:eastAsia="uk-UA"/>
              </w:rPr>
              <w:t>ТОВ "Глуско Рітейл"</w:t>
            </w:r>
          </w:p>
        </w:tc>
        <w:tc>
          <w:tcPr>
            <w:tcW w:w="1700" w:type="dxa"/>
            <w:tcBorders>
              <w:top w:val="nil"/>
              <w:left w:val="single" w:sz="4" w:space="0" w:color="auto"/>
              <w:bottom w:val="single" w:sz="4" w:space="0" w:color="auto"/>
              <w:right w:val="single" w:sz="4" w:space="0" w:color="auto"/>
            </w:tcBorders>
            <w:vAlign w:val="center"/>
            <w:hideMark/>
          </w:tcPr>
          <w:p w:rsidR="00B50251" w:rsidRPr="007C3964" w:rsidRDefault="00B50251" w:rsidP="00DD3F5A">
            <w:pPr>
              <w:jc w:val="right"/>
              <w:rPr>
                <w:lang w:val="uk-UA" w:eastAsia="uk-UA"/>
              </w:rPr>
            </w:pPr>
            <w:r w:rsidRPr="007C3964">
              <w:rPr>
                <w:lang w:val="uk-UA" w:eastAsia="uk-UA"/>
              </w:rPr>
              <w:t>100,3</w:t>
            </w:r>
          </w:p>
        </w:tc>
        <w:tc>
          <w:tcPr>
            <w:tcW w:w="1559" w:type="dxa"/>
            <w:tcBorders>
              <w:top w:val="nil"/>
              <w:left w:val="single" w:sz="4" w:space="0" w:color="auto"/>
              <w:bottom w:val="single" w:sz="4" w:space="0" w:color="auto"/>
              <w:right w:val="single" w:sz="4" w:space="0" w:color="auto"/>
            </w:tcBorders>
          </w:tcPr>
          <w:p w:rsidR="00B50251" w:rsidRPr="007C3964" w:rsidRDefault="00B50251" w:rsidP="00DD3F5A">
            <w:pPr>
              <w:jc w:val="right"/>
              <w:rPr>
                <w:lang w:val="uk-UA" w:eastAsia="uk-UA"/>
              </w:rPr>
            </w:pPr>
            <w:r>
              <w:rPr>
                <w:lang w:val="uk-UA" w:eastAsia="uk-UA"/>
              </w:rPr>
              <w:t>73,7</w:t>
            </w:r>
          </w:p>
        </w:tc>
        <w:tc>
          <w:tcPr>
            <w:tcW w:w="1843" w:type="dxa"/>
            <w:tcBorders>
              <w:top w:val="nil"/>
              <w:left w:val="single" w:sz="4" w:space="0" w:color="auto"/>
              <w:bottom w:val="single" w:sz="4" w:space="0" w:color="auto"/>
              <w:right w:val="single" w:sz="4" w:space="0" w:color="auto"/>
            </w:tcBorders>
          </w:tcPr>
          <w:p w:rsidR="00B50251" w:rsidRPr="007C3964" w:rsidRDefault="00B50251" w:rsidP="00DD3F5A">
            <w:pPr>
              <w:jc w:val="right"/>
              <w:rPr>
                <w:lang w:val="uk-UA" w:eastAsia="uk-UA"/>
              </w:rPr>
            </w:pPr>
            <w:r>
              <w:rPr>
                <w:lang w:val="uk-UA" w:eastAsia="uk-UA"/>
              </w:rPr>
              <w:t>+26,6</w:t>
            </w:r>
          </w:p>
        </w:tc>
      </w:tr>
      <w:tr w:rsidR="00B50251" w:rsidRPr="007C3964" w:rsidTr="00DD3F5A">
        <w:trPr>
          <w:trHeight w:val="264"/>
        </w:trPr>
        <w:tc>
          <w:tcPr>
            <w:tcW w:w="561" w:type="dxa"/>
            <w:tcBorders>
              <w:top w:val="nil"/>
              <w:left w:val="single" w:sz="4" w:space="0" w:color="auto"/>
              <w:bottom w:val="single" w:sz="4" w:space="0" w:color="auto"/>
              <w:right w:val="single" w:sz="4" w:space="0" w:color="auto"/>
            </w:tcBorders>
            <w:noWrap/>
            <w:vAlign w:val="bottom"/>
            <w:hideMark/>
          </w:tcPr>
          <w:p w:rsidR="00B50251" w:rsidRPr="007C3964" w:rsidRDefault="00B50251" w:rsidP="00DD3F5A">
            <w:pPr>
              <w:jc w:val="center"/>
              <w:rPr>
                <w:lang w:val="uk-UA" w:eastAsia="uk-UA"/>
              </w:rPr>
            </w:pPr>
            <w:r w:rsidRPr="007C3964">
              <w:rPr>
                <w:lang w:val="uk-UA" w:eastAsia="uk-UA"/>
              </w:rPr>
              <w:t>13</w:t>
            </w:r>
          </w:p>
        </w:tc>
        <w:tc>
          <w:tcPr>
            <w:tcW w:w="3409" w:type="dxa"/>
            <w:tcBorders>
              <w:top w:val="nil"/>
              <w:left w:val="nil"/>
              <w:bottom w:val="single" w:sz="4" w:space="0" w:color="auto"/>
              <w:right w:val="single" w:sz="4" w:space="0" w:color="auto"/>
            </w:tcBorders>
            <w:vAlign w:val="center"/>
            <w:hideMark/>
          </w:tcPr>
          <w:p w:rsidR="00B50251" w:rsidRPr="007C3964" w:rsidRDefault="00B50251" w:rsidP="00DD3F5A">
            <w:pPr>
              <w:rPr>
                <w:lang w:val="uk-UA" w:eastAsia="uk-UA"/>
              </w:rPr>
            </w:pPr>
            <w:r w:rsidRPr="007C3964">
              <w:rPr>
                <w:lang w:val="uk-UA" w:eastAsia="uk-UA"/>
              </w:rPr>
              <w:t>ТОВ "Альянс холдинг"</w:t>
            </w:r>
          </w:p>
        </w:tc>
        <w:tc>
          <w:tcPr>
            <w:tcW w:w="1700" w:type="dxa"/>
            <w:tcBorders>
              <w:top w:val="nil"/>
              <w:left w:val="single" w:sz="4" w:space="0" w:color="auto"/>
              <w:bottom w:val="single" w:sz="4" w:space="0" w:color="auto"/>
              <w:right w:val="single" w:sz="4" w:space="0" w:color="auto"/>
            </w:tcBorders>
            <w:vAlign w:val="center"/>
            <w:hideMark/>
          </w:tcPr>
          <w:p w:rsidR="00B50251" w:rsidRPr="007C3964" w:rsidRDefault="00B50251" w:rsidP="00DD3F5A">
            <w:pPr>
              <w:jc w:val="right"/>
              <w:rPr>
                <w:lang w:val="uk-UA" w:eastAsia="uk-UA"/>
              </w:rPr>
            </w:pPr>
            <w:r w:rsidRPr="007C3964">
              <w:rPr>
                <w:lang w:val="uk-UA" w:eastAsia="uk-UA"/>
              </w:rPr>
              <w:t>59,0</w:t>
            </w:r>
          </w:p>
        </w:tc>
        <w:tc>
          <w:tcPr>
            <w:tcW w:w="1559" w:type="dxa"/>
            <w:tcBorders>
              <w:top w:val="nil"/>
              <w:left w:val="single" w:sz="4" w:space="0" w:color="auto"/>
              <w:bottom w:val="single" w:sz="4" w:space="0" w:color="auto"/>
              <w:right w:val="single" w:sz="4" w:space="0" w:color="auto"/>
            </w:tcBorders>
          </w:tcPr>
          <w:p w:rsidR="00B50251" w:rsidRPr="007C3964" w:rsidRDefault="00B50251" w:rsidP="00DD3F5A">
            <w:pPr>
              <w:jc w:val="right"/>
              <w:rPr>
                <w:lang w:val="uk-UA" w:eastAsia="uk-UA"/>
              </w:rPr>
            </w:pPr>
            <w:r>
              <w:rPr>
                <w:lang w:val="uk-UA" w:eastAsia="uk-UA"/>
              </w:rPr>
              <w:t>49,2</w:t>
            </w:r>
          </w:p>
        </w:tc>
        <w:tc>
          <w:tcPr>
            <w:tcW w:w="1843" w:type="dxa"/>
            <w:tcBorders>
              <w:top w:val="nil"/>
              <w:left w:val="single" w:sz="4" w:space="0" w:color="auto"/>
              <w:bottom w:val="single" w:sz="4" w:space="0" w:color="auto"/>
              <w:right w:val="single" w:sz="4" w:space="0" w:color="auto"/>
            </w:tcBorders>
          </w:tcPr>
          <w:p w:rsidR="00B50251" w:rsidRPr="007C3964" w:rsidRDefault="00B50251" w:rsidP="00DD3F5A">
            <w:pPr>
              <w:jc w:val="right"/>
              <w:rPr>
                <w:lang w:val="uk-UA" w:eastAsia="uk-UA"/>
              </w:rPr>
            </w:pPr>
            <w:r>
              <w:rPr>
                <w:lang w:val="uk-UA" w:eastAsia="uk-UA"/>
              </w:rPr>
              <w:t>+9,8</w:t>
            </w:r>
          </w:p>
        </w:tc>
      </w:tr>
    </w:tbl>
    <w:p w:rsidR="00E101D6" w:rsidRDefault="00E101D6" w:rsidP="00DE6F01">
      <w:pPr>
        <w:tabs>
          <w:tab w:val="left" w:pos="1530"/>
        </w:tabs>
        <w:rPr>
          <w:b/>
          <w:i/>
          <w:lang w:val="uk-UA"/>
        </w:rPr>
      </w:pPr>
    </w:p>
    <w:p w:rsidR="00B50251" w:rsidRPr="00E3679C" w:rsidRDefault="00B50251" w:rsidP="00B50251">
      <w:pPr>
        <w:tabs>
          <w:tab w:val="left" w:pos="1530"/>
        </w:tabs>
        <w:jc w:val="center"/>
        <w:rPr>
          <w:b/>
          <w:i/>
          <w:lang w:val="uk-UA"/>
        </w:rPr>
      </w:pPr>
      <w:r w:rsidRPr="00E3679C">
        <w:rPr>
          <w:b/>
          <w:i/>
          <w:lang w:val="uk-UA"/>
        </w:rPr>
        <w:t>СПЕЦІАЛЬНИЙ ФОНД</w:t>
      </w:r>
    </w:p>
    <w:p w:rsidR="00B50251" w:rsidRPr="00BA64B7" w:rsidRDefault="00B50251" w:rsidP="00B50251">
      <w:pPr>
        <w:tabs>
          <w:tab w:val="left" w:pos="1530"/>
        </w:tabs>
        <w:jc w:val="center"/>
        <w:rPr>
          <w:b/>
          <w:lang w:val="uk-UA"/>
        </w:rPr>
      </w:pPr>
    </w:p>
    <w:p w:rsidR="00B50251" w:rsidRPr="00B50251" w:rsidRDefault="00B50251" w:rsidP="00B50251">
      <w:pPr>
        <w:pStyle w:val="2"/>
        <w:spacing w:after="0" w:line="240" w:lineRule="auto"/>
        <w:ind w:left="0" w:firstLine="709"/>
        <w:jc w:val="both"/>
        <w:rPr>
          <w:lang w:val="uk-UA"/>
        </w:rPr>
      </w:pPr>
      <w:r w:rsidRPr="00B50251">
        <w:rPr>
          <w:lang w:val="uk-UA"/>
        </w:rPr>
        <w:t xml:space="preserve">План по доходах спеціального фонду (без врахування трансфертів) виконано на 28,5 %. </w:t>
      </w:r>
      <w:bookmarkStart w:id="7" w:name="_Hlk71186649"/>
    </w:p>
    <w:bookmarkEnd w:id="7"/>
    <w:p w:rsidR="00B50251" w:rsidRPr="00B50251" w:rsidRDefault="00B50251" w:rsidP="00B50251">
      <w:pPr>
        <w:tabs>
          <w:tab w:val="left" w:pos="0"/>
        </w:tabs>
        <w:ind w:firstLine="709"/>
        <w:rPr>
          <w:lang w:val="uk-UA"/>
        </w:rPr>
      </w:pPr>
      <w:r w:rsidRPr="00B50251">
        <w:rPr>
          <w:lang w:val="uk-UA"/>
        </w:rPr>
        <w:t>При уточненому плані по доходах (без врахування трансфертів) 39 841,1 тис. грн. надійшло – 11 347,5 тис. грн., в тому числі:</w:t>
      </w:r>
    </w:p>
    <w:p w:rsidR="00B50251" w:rsidRPr="00B50251" w:rsidRDefault="00B50251" w:rsidP="00B50251">
      <w:pPr>
        <w:numPr>
          <w:ilvl w:val="0"/>
          <w:numId w:val="40"/>
        </w:numPr>
        <w:tabs>
          <w:tab w:val="clear" w:pos="1440"/>
          <w:tab w:val="left" w:pos="0"/>
          <w:tab w:val="num" w:pos="851"/>
        </w:tabs>
        <w:ind w:hanging="731"/>
        <w:jc w:val="both"/>
        <w:rPr>
          <w:lang w:val="uk-UA"/>
        </w:rPr>
      </w:pPr>
      <w:r w:rsidRPr="00B50251">
        <w:rPr>
          <w:lang w:val="uk-UA"/>
        </w:rPr>
        <w:t>надходження коштів бюджету розвитку (кошти від продажу земельних ділянок) – 5609,3 тис. грн.;</w:t>
      </w:r>
    </w:p>
    <w:p w:rsidR="00B50251" w:rsidRPr="00B50251" w:rsidRDefault="00B50251" w:rsidP="00B50251">
      <w:pPr>
        <w:numPr>
          <w:ilvl w:val="0"/>
          <w:numId w:val="40"/>
        </w:numPr>
        <w:tabs>
          <w:tab w:val="clear" w:pos="1440"/>
          <w:tab w:val="left" w:pos="0"/>
          <w:tab w:val="num" w:pos="851"/>
        </w:tabs>
        <w:ind w:hanging="731"/>
        <w:jc w:val="both"/>
        <w:rPr>
          <w:lang w:val="uk-UA"/>
        </w:rPr>
      </w:pPr>
      <w:r w:rsidRPr="00B50251">
        <w:rPr>
          <w:lang w:val="uk-UA"/>
        </w:rPr>
        <w:t xml:space="preserve">цiльовi фонди, утворені Верховною Радою АРК, органами місцевого самоврядування і місцевими органами виконавчої влади – 2800,2 тис.грн.; </w:t>
      </w:r>
    </w:p>
    <w:p w:rsidR="00B50251" w:rsidRPr="00B50251" w:rsidRDefault="00B50251" w:rsidP="00B50251">
      <w:pPr>
        <w:numPr>
          <w:ilvl w:val="0"/>
          <w:numId w:val="40"/>
        </w:numPr>
        <w:tabs>
          <w:tab w:val="clear" w:pos="1440"/>
          <w:tab w:val="left" w:pos="0"/>
          <w:tab w:val="num" w:pos="851"/>
        </w:tabs>
        <w:ind w:hanging="731"/>
        <w:jc w:val="both"/>
        <w:rPr>
          <w:lang w:val="uk-UA"/>
        </w:rPr>
      </w:pPr>
      <w:r w:rsidRPr="00B50251">
        <w:rPr>
          <w:lang w:val="uk-UA"/>
        </w:rPr>
        <w:t>власні надходження бюджетних установ – 2 769,3 тис.грн.</w:t>
      </w:r>
      <w:r w:rsidRPr="00B50251">
        <w:t>;</w:t>
      </w:r>
      <w:r w:rsidRPr="00B50251">
        <w:rPr>
          <w:lang w:val="uk-UA"/>
        </w:rPr>
        <w:t xml:space="preserve"> </w:t>
      </w:r>
    </w:p>
    <w:p w:rsidR="00B50251" w:rsidRPr="00B50251" w:rsidRDefault="00B50251" w:rsidP="00B50251">
      <w:pPr>
        <w:numPr>
          <w:ilvl w:val="0"/>
          <w:numId w:val="40"/>
        </w:numPr>
        <w:tabs>
          <w:tab w:val="clear" w:pos="1440"/>
          <w:tab w:val="left" w:pos="0"/>
          <w:tab w:val="num" w:pos="851"/>
        </w:tabs>
        <w:ind w:hanging="731"/>
        <w:jc w:val="both"/>
        <w:rPr>
          <w:lang w:val="uk-UA"/>
        </w:rPr>
      </w:pPr>
      <w:r w:rsidRPr="00B50251">
        <w:rPr>
          <w:lang w:val="uk-UA"/>
        </w:rPr>
        <w:t>надходження екологічного податку – 32,3 тис.грн.</w:t>
      </w:r>
      <w:r w:rsidRPr="00B50251">
        <w:t>;</w:t>
      </w:r>
    </w:p>
    <w:p w:rsidR="00B50251" w:rsidRPr="00B50251" w:rsidRDefault="00B50251" w:rsidP="00B50251">
      <w:pPr>
        <w:numPr>
          <w:ilvl w:val="0"/>
          <w:numId w:val="40"/>
        </w:numPr>
        <w:tabs>
          <w:tab w:val="clear" w:pos="1440"/>
          <w:tab w:val="left" w:pos="0"/>
          <w:tab w:val="num" w:pos="851"/>
        </w:tabs>
        <w:ind w:hanging="731"/>
        <w:jc w:val="both"/>
        <w:rPr>
          <w:lang w:val="uk-UA"/>
        </w:rPr>
      </w:pPr>
      <w:r w:rsidRPr="00B50251">
        <w:rPr>
          <w:lang w:val="uk-UA"/>
        </w:rPr>
        <w:t>надходження коштів від відшкодування втрат с/г і л/г виробництва-136,4 тис.грн.</w:t>
      </w:r>
    </w:p>
    <w:p w:rsidR="00B50251" w:rsidRPr="00BA64B7" w:rsidRDefault="00B50251" w:rsidP="00B50251">
      <w:pPr>
        <w:tabs>
          <w:tab w:val="left" w:pos="0"/>
          <w:tab w:val="num" w:pos="851"/>
        </w:tabs>
        <w:ind w:left="1440" w:hanging="731"/>
        <w:jc w:val="both"/>
        <w:rPr>
          <w:lang w:val="uk-UA"/>
        </w:rPr>
      </w:pPr>
    </w:p>
    <w:p w:rsidR="00B50251" w:rsidRDefault="00B50251" w:rsidP="00B50251">
      <w:pPr>
        <w:tabs>
          <w:tab w:val="left" w:pos="0"/>
        </w:tabs>
        <w:jc w:val="both"/>
      </w:pPr>
    </w:p>
    <w:p w:rsidR="00B50251" w:rsidRDefault="00B50251" w:rsidP="00B50251">
      <w:pPr>
        <w:tabs>
          <w:tab w:val="left" w:pos="0"/>
        </w:tabs>
        <w:jc w:val="both"/>
        <w:rPr>
          <w:lang w:val="en-US"/>
        </w:rPr>
      </w:pPr>
      <w:r>
        <w:rPr>
          <w:noProof/>
          <w:lang w:val="uk-UA" w:eastAsia="uk-UA"/>
        </w:rPr>
        <w:lastRenderedPageBreak/>
        <w:drawing>
          <wp:inline distT="0" distB="0" distL="0" distR="0" wp14:anchorId="63FE2BBC" wp14:editId="28E0C774">
            <wp:extent cx="5844540" cy="3749040"/>
            <wp:effectExtent l="38100" t="0" r="3810" b="3810"/>
            <wp:docPr id="3"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50251" w:rsidRDefault="00B50251" w:rsidP="00B50251">
      <w:pPr>
        <w:tabs>
          <w:tab w:val="left" w:pos="0"/>
        </w:tabs>
        <w:jc w:val="both"/>
        <w:rPr>
          <w:lang w:val="en-US"/>
        </w:rPr>
      </w:pPr>
    </w:p>
    <w:p w:rsidR="00B50251" w:rsidRDefault="00B50251" w:rsidP="00B50251">
      <w:pPr>
        <w:tabs>
          <w:tab w:val="left" w:pos="1530"/>
        </w:tabs>
        <w:ind w:firstLine="900"/>
        <w:jc w:val="both"/>
        <w:rPr>
          <w:lang w:val="uk-UA"/>
        </w:rPr>
      </w:pPr>
    </w:p>
    <w:p w:rsidR="00B50251" w:rsidRDefault="00B50251" w:rsidP="00B50251">
      <w:pPr>
        <w:tabs>
          <w:tab w:val="left" w:pos="1530"/>
        </w:tabs>
        <w:ind w:firstLine="900"/>
        <w:jc w:val="both"/>
        <w:rPr>
          <w:sz w:val="28"/>
          <w:szCs w:val="28"/>
          <w:highlight w:val="yellow"/>
          <w:lang w:val="uk-UA"/>
        </w:rPr>
      </w:pPr>
    </w:p>
    <w:p w:rsidR="00B50251" w:rsidRPr="00B50251" w:rsidRDefault="00B50251" w:rsidP="00B50251">
      <w:pPr>
        <w:tabs>
          <w:tab w:val="left" w:pos="1530"/>
        </w:tabs>
        <w:ind w:firstLine="900"/>
        <w:jc w:val="both"/>
        <w:rPr>
          <w:lang w:val="uk-UA"/>
        </w:rPr>
      </w:pPr>
      <w:r w:rsidRPr="00B50251">
        <w:rPr>
          <w:lang w:val="uk-UA"/>
        </w:rPr>
        <w:t>Порівнюючи з надходженнями за 1-й квартал 2020 року, сума доходів спеціального фонду бюджету територіальної громади (без врахування трансфертів) зменшилась  на 18 917,7 тис. грн. Що становить 37,5% від надходжень за аналогічний період минулого року.  (Додаток 1).</w:t>
      </w:r>
    </w:p>
    <w:p w:rsidR="00B50251" w:rsidRPr="00B50251" w:rsidRDefault="00B50251" w:rsidP="00B50251">
      <w:pPr>
        <w:pStyle w:val="2"/>
        <w:spacing w:after="0" w:line="240" w:lineRule="auto"/>
        <w:ind w:left="0" w:firstLine="720"/>
        <w:jc w:val="both"/>
        <w:rPr>
          <w:lang w:val="uk-UA"/>
        </w:rPr>
      </w:pPr>
      <w:r w:rsidRPr="00B50251">
        <w:rPr>
          <w:lang w:val="uk-UA"/>
        </w:rPr>
        <w:t xml:space="preserve">Значну роль у зменшенні вищезазначених надходжень відіграло скасування пайової участі у розвитку інфраструктури населеного пункту, відповідно до Закону України «Про внесення змін до деяких законодавчих актів України щодо стимулювання інвестиційної діяльності в Україні»  № 132-ІХ від 20.09.2019 року. За 1 квартал 2020 року сума надходжень коштів пайової участі у розвитку інфраструктури населеного пункту становила 7 628,4 тис. грн., надходження за цим видом податку у 1-му кварталі 2021 року відсутні. </w:t>
      </w:r>
    </w:p>
    <w:p w:rsidR="00B50251" w:rsidRPr="00B50251" w:rsidRDefault="00B50251" w:rsidP="00B50251">
      <w:pPr>
        <w:tabs>
          <w:tab w:val="left" w:pos="1530"/>
        </w:tabs>
        <w:ind w:firstLine="900"/>
        <w:jc w:val="both"/>
        <w:rPr>
          <w:lang w:val="uk-UA"/>
        </w:rPr>
      </w:pPr>
      <w:r w:rsidRPr="00B50251">
        <w:rPr>
          <w:lang w:val="uk-UA"/>
        </w:rPr>
        <w:t>Власні надходження бюджетних установ складають 25,3% виконання. При уточненому плані на 1 квартал 2021 року – 10 940,8 тис .грн., надійшло – 2 769,3 тис. грн. В порівнянні з 1 кварталом 2020 року цей вид надходжень збільшився на 121,0 тис. грн. Невиконання відбулося за рахунок ненадходження батьківської плати за послуги, що надаються бюджетними установами згідно із законодавством, в зв’язку із запровадженням дистанційного навчання в загальноосвітніх школах громади на період дії карантинних обмежень, в рамках  боротьби та протидії поширення коронавірусної хвороби (</w:t>
      </w:r>
      <w:r w:rsidRPr="00B50251">
        <w:rPr>
          <w:lang w:val="en-US"/>
        </w:rPr>
        <w:t>COVID</w:t>
      </w:r>
      <w:r w:rsidRPr="00B50251">
        <w:rPr>
          <w:lang w:val="uk-UA"/>
        </w:rPr>
        <w:t>19) у 1 кварталі 2021 року.</w:t>
      </w:r>
    </w:p>
    <w:p w:rsidR="00B50251" w:rsidRPr="00B50251" w:rsidRDefault="00B50251" w:rsidP="00B50251">
      <w:pPr>
        <w:pStyle w:val="ae"/>
        <w:spacing w:before="0" w:after="0"/>
        <w:ind w:firstLine="900"/>
        <w:jc w:val="both"/>
        <w:rPr>
          <w:i/>
          <w:szCs w:val="24"/>
          <w:lang w:val="uk-UA"/>
        </w:rPr>
      </w:pPr>
      <w:r w:rsidRPr="00B50251">
        <w:rPr>
          <w:szCs w:val="24"/>
          <w:lang w:val="uk-UA"/>
        </w:rPr>
        <w:t xml:space="preserve">До бюджету розвитку надійшло 5 609,3 тис. грн. коштів від продажу земельних ділянок несільськогосподарського призначення, що перебувають у комунальній власності, та земельних ділянок, які знаходяться на території АРК» (код 33010100), що </w:t>
      </w:r>
      <w:r w:rsidRPr="00B50251">
        <w:rPr>
          <w:color w:val="FF0000"/>
          <w:szCs w:val="24"/>
          <w:lang w:val="uk-UA"/>
        </w:rPr>
        <w:t xml:space="preserve">становить 23,1 % виконання плану </w:t>
      </w:r>
      <w:r w:rsidRPr="00B50251">
        <w:rPr>
          <w:i/>
          <w:color w:val="FF0000"/>
          <w:szCs w:val="24"/>
          <w:lang w:val="uk-UA"/>
        </w:rPr>
        <w:t xml:space="preserve"> </w:t>
      </w:r>
      <w:r w:rsidRPr="00B50251">
        <w:rPr>
          <w:szCs w:val="24"/>
          <w:lang w:val="uk-UA"/>
        </w:rPr>
        <w:t>Порівнюючи з надходженнями за 1-й квартал 2020 року, сума доходів від продажу земельних ділянок несільськогосподарського призначення зменшилась  на 11 871,2 тис. грн. Що становить 32,1% від надходжень за аналогічний період минулого року.</w:t>
      </w:r>
    </w:p>
    <w:p w:rsidR="00B50251" w:rsidRPr="00B50251" w:rsidRDefault="00B50251" w:rsidP="00B50251">
      <w:pPr>
        <w:tabs>
          <w:tab w:val="left" w:pos="1530"/>
        </w:tabs>
        <w:ind w:firstLine="900"/>
        <w:jc w:val="both"/>
      </w:pPr>
      <w:r w:rsidRPr="00B50251">
        <w:rPr>
          <w:lang w:val="uk-UA"/>
        </w:rPr>
        <w:t>Надходження до цільового фонду, створеного ВР АРК, органами місцевого самоврядування і місцевими органами виконавчої влади (по коду 50110000) за 1 квартал 2021 року становлять 2 800,2 тис. грн., що складає 172,3 % уточненого річного плану на 1 квартал 2021 року і  на 316,4 тис. грн більше в порівнянні з відповідним періодом 2020 року.</w:t>
      </w:r>
    </w:p>
    <w:p w:rsidR="00B50251" w:rsidRPr="00BA64B7" w:rsidRDefault="00B50251" w:rsidP="00B50251">
      <w:pPr>
        <w:tabs>
          <w:tab w:val="left" w:pos="0"/>
        </w:tabs>
        <w:jc w:val="both"/>
      </w:pPr>
    </w:p>
    <w:p w:rsidR="00DE6F01" w:rsidRDefault="00DE6F01" w:rsidP="00617A1F">
      <w:pPr>
        <w:ind w:firstLine="709"/>
        <w:jc w:val="center"/>
        <w:rPr>
          <w:b/>
          <w:sz w:val="28"/>
          <w:szCs w:val="28"/>
          <w:lang w:val="uk-UA"/>
        </w:rPr>
      </w:pPr>
    </w:p>
    <w:p w:rsidR="00B3353A" w:rsidRDefault="00B3353A" w:rsidP="00617A1F">
      <w:pPr>
        <w:ind w:firstLine="709"/>
        <w:jc w:val="center"/>
        <w:rPr>
          <w:b/>
          <w:sz w:val="28"/>
          <w:szCs w:val="28"/>
          <w:lang w:val="uk-UA"/>
        </w:rPr>
      </w:pPr>
      <w:r>
        <w:rPr>
          <w:b/>
          <w:sz w:val="28"/>
          <w:szCs w:val="28"/>
          <w:lang w:val="uk-UA"/>
        </w:rPr>
        <w:lastRenderedPageBreak/>
        <w:t>ВИДАТКИ</w:t>
      </w:r>
    </w:p>
    <w:p w:rsidR="00723E7A" w:rsidRPr="00532BA6" w:rsidRDefault="00723E7A" w:rsidP="00617A1F">
      <w:pPr>
        <w:ind w:firstLine="709"/>
        <w:jc w:val="center"/>
        <w:rPr>
          <w:b/>
          <w:sz w:val="20"/>
          <w:szCs w:val="20"/>
          <w:lang w:val="uk-UA"/>
        </w:rPr>
      </w:pPr>
    </w:p>
    <w:p w:rsidR="00AD1EC1" w:rsidRPr="009E6FD1" w:rsidRDefault="00B45F42" w:rsidP="00AD77A0">
      <w:pPr>
        <w:ind w:firstLine="709"/>
        <w:jc w:val="both"/>
        <w:rPr>
          <w:lang w:val="uk-UA"/>
        </w:rPr>
      </w:pPr>
      <w:r w:rsidRPr="00B45F42">
        <w:rPr>
          <w:lang w:val="uk-UA"/>
        </w:rPr>
        <w:t xml:space="preserve">Видаткова частина </w:t>
      </w:r>
      <w:r w:rsidR="00970C6F">
        <w:rPr>
          <w:lang w:val="uk-UA"/>
        </w:rPr>
        <w:t xml:space="preserve">місцевого </w:t>
      </w:r>
      <w:r w:rsidR="00B2276A">
        <w:rPr>
          <w:lang w:val="uk-UA"/>
        </w:rPr>
        <w:t>бюджету</w:t>
      </w:r>
      <w:r w:rsidR="009A68B4">
        <w:rPr>
          <w:lang w:val="uk-UA"/>
        </w:rPr>
        <w:t xml:space="preserve"> Бучанської </w:t>
      </w:r>
      <w:r w:rsidR="00970C6F">
        <w:rPr>
          <w:lang w:val="uk-UA"/>
        </w:rPr>
        <w:t xml:space="preserve">міської </w:t>
      </w:r>
      <w:r w:rsidR="00A65198">
        <w:rPr>
          <w:lang w:val="uk-UA"/>
        </w:rPr>
        <w:t>територіальної громади</w:t>
      </w:r>
      <w:r w:rsidRPr="00B45F42">
        <w:rPr>
          <w:lang w:val="uk-UA"/>
        </w:rPr>
        <w:t xml:space="preserve"> по загальному фонду</w:t>
      </w:r>
      <w:r w:rsidR="00527460" w:rsidRPr="00527460">
        <w:t xml:space="preserve"> </w:t>
      </w:r>
      <w:r w:rsidR="00527460">
        <w:rPr>
          <w:lang w:val="uk-UA"/>
        </w:rPr>
        <w:t xml:space="preserve">за </w:t>
      </w:r>
      <w:r w:rsidR="00527460">
        <w:rPr>
          <w:lang w:val="en-US"/>
        </w:rPr>
        <w:t>I</w:t>
      </w:r>
      <w:r w:rsidR="00527460" w:rsidRPr="00527460">
        <w:t xml:space="preserve"> </w:t>
      </w:r>
      <w:r w:rsidR="00527460">
        <w:rPr>
          <w:lang w:val="uk-UA"/>
        </w:rPr>
        <w:t>квартал 2021 року</w:t>
      </w:r>
      <w:r w:rsidR="00C327B6">
        <w:rPr>
          <w:lang w:val="uk-UA"/>
        </w:rPr>
        <w:t xml:space="preserve"> </w:t>
      </w:r>
      <w:r w:rsidRPr="00B45F42">
        <w:rPr>
          <w:lang w:val="uk-UA"/>
        </w:rPr>
        <w:t xml:space="preserve">виконана на </w:t>
      </w:r>
      <w:r w:rsidR="00A65198">
        <w:rPr>
          <w:lang w:val="uk-UA"/>
        </w:rPr>
        <w:t>74,7</w:t>
      </w:r>
      <w:r w:rsidRPr="00B45F42">
        <w:rPr>
          <w:lang w:val="uk-UA"/>
        </w:rPr>
        <w:t xml:space="preserve"> % до плану з урахуванням змін на </w:t>
      </w:r>
      <w:r w:rsidR="009A68B4">
        <w:rPr>
          <w:lang w:val="uk-UA"/>
        </w:rPr>
        <w:t>відповідний період</w:t>
      </w:r>
      <w:r w:rsidRPr="00B45F42">
        <w:rPr>
          <w:lang w:val="uk-UA"/>
        </w:rPr>
        <w:t xml:space="preserve"> (уточнений план</w:t>
      </w:r>
      <w:r w:rsidR="00C327B6">
        <w:rPr>
          <w:lang w:val="uk-UA"/>
        </w:rPr>
        <w:t xml:space="preserve"> </w:t>
      </w:r>
      <w:r w:rsidR="00A65198">
        <w:rPr>
          <w:lang w:val="uk-UA"/>
        </w:rPr>
        <w:t>150 777,6</w:t>
      </w:r>
      <w:r w:rsidRPr="00B45F42">
        <w:rPr>
          <w:lang w:val="uk-UA"/>
        </w:rPr>
        <w:t xml:space="preserve"> тис. грн.</w:t>
      </w:r>
      <w:r w:rsidR="00527460">
        <w:rPr>
          <w:lang w:val="uk-UA"/>
        </w:rPr>
        <w:t xml:space="preserve">, </w:t>
      </w:r>
      <w:r w:rsidRPr="00B45F42">
        <w:rPr>
          <w:lang w:val="uk-UA"/>
        </w:rPr>
        <w:t xml:space="preserve"> касові видатки </w:t>
      </w:r>
      <w:r w:rsidR="00A65198">
        <w:rPr>
          <w:lang w:val="uk-UA"/>
        </w:rPr>
        <w:t>112 644,5</w:t>
      </w:r>
      <w:r w:rsidRPr="00B45F42">
        <w:rPr>
          <w:lang w:val="uk-UA"/>
        </w:rPr>
        <w:t xml:space="preserve"> тис. грн.), по спеціальному фонду</w:t>
      </w:r>
      <w:r w:rsidR="00527460">
        <w:rPr>
          <w:lang w:val="uk-UA"/>
        </w:rPr>
        <w:t xml:space="preserve"> - </w:t>
      </w:r>
      <w:r w:rsidR="00C327B6">
        <w:rPr>
          <w:lang w:val="uk-UA"/>
        </w:rPr>
        <w:t xml:space="preserve"> </w:t>
      </w:r>
      <w:r w:rsidRPr="00B45F42">
        <w:rPr>
          <w:lang w:val="uk-UA"/>
        </w:rPr>
        <w:t xml:space="preserve">на </w:t>
      </w:r>
      <w:r w:rsidR="00A65198">
        <w:rPr>
          <w:lang w:val="uk-UA"/>
        </w:rPr>
        <w:t>4,3</w:t>
      </w:r>
      <w:r w:rsidR="00F12DB6">
        <w:rPr>
          <w:lang w:val="uk-UA"/>
        </w:rPr>
        <w:t xml:space="preserve"> </w:t>
      </w:r>
      <w:r w:rsidRPr="00B45F42">
        <w:rPr>
          <w:lang w:val="uk-UA"/>
        </w:rPr>
        <w:t xml:space="preserve">% ( уточнений план </w:t>
      </w:r>
      <w:r w:rsidR="00A65198">
        <w:rPr>
          <w:lang w:val="uk-UA"/>
        </w:rPr>
        <w:t>120 058,4</w:t>
      </w:r>
      <w:r w:rsidRPr="00B45F42">
        <w:rPr>
          <w:lang w:val="uk-UA"/>
        </w:rPr>
        <w:t xml:space="preserve"> тис. грн.</w:t>
      </w:r>
      <w:r w:rsidR="00527460">
        <w:rPr>
          <w:lang w:val="uk-UA"/>
        </w:rPr>
        <w:t>,</w:t>
      </w:r>
      <w:r w:rsidRPr="00B45F42">
        <w:rPr>
          <w:lang w:val="uk-UA"/>
        </w:rPr>
        <w:t xml:space="preserve"> касові видатки </w:t>
      </w:r>
      <w:r w:rsidR="00A65198">
        <w:rPr>
          <w:lang w:val="uk-UA"/>
        </w:rPr>
        <w:t>5 106,4</w:t>
      </w:r>
      <w:r w:rsidR="009A68B4">
        <w:rPr>
          <w:lang w:val="uk-UA"/>
        </w:rPr>
        <w:t xml:space="preserve"> </w:t>
      </w:r>
      <w:r w:rsidRPr="00B45F42">
        <w:rPr>
          <w:lang w:val="uk-UA"/>
        </w:rPr>
        <w:t>тис. грн.)</w:t>
      </w:r>
      <w:r w:rsidR="00527460">
        <w:rPr>
          <w:lang w:val="uk-UA"/>
        </w:rPr>
        <w:t>.</w:t>
      </w:r>
      <w:r w:rsidR="00640BB7">
        <w:rPr>
          <w:lang w:val="uk-UA"/>
        </w:rPr>
        <w:t xml:space="preserve"> </w:t>
      </w:r>
      <w:r w:rsidR="009D0E10">
        <w:rPr>
          <w:lang w:val="uk-UA"/>
        </w:rPr>
        <w:t xml:space="preserve">Відповідно до минулого періоду 2020 року видатки загального фонду збільшені на 34 186,2 тис. грн., або на </w:t>
      </w:r>
      <w:r w:rsidR="00167B22">
        <w:rPr>
          <w:lang w:val="uk-UA"/>
        </w:rPr>
        <w:t xml:space="preserve">30,3%. </w:t>
      </w:r>
      <w:r w:rsidR="00640BB7">
        <w:rPr>
          <w:lang w:val="uk-UA"/>
        </w:rPr>
        <w:t xml:space="preserve">Збільшення видаткової частини зумовлено фінансуванням збільшеної мережі закладів бюджетних установ усіх галузей, </w:t>
      </w:r>
      <w:r w:rsidR="00A610D2">
        <w:rPr>
          <w:lang w:val="uk-UA"/>
        </w:rPr>
        <w:t>у</w:t>
      </w:r>
      <w:r w:rsidR="00640BB7">
        <w:rPr>
          <w:lang w:val="uk-UA"/>
        </w:rPr>
        <w:t xml:space="preserve"> зв</w:t>
      </w:r>
      <w:r w:rsidR="00640BB7">
        <w:rPr>
          <w:rFonts w:ascii="Calibri" w:hAnsi="Calibri" w:cs="Calibri"/>
          <w:lang w:val="uk-UA"/>
        </w:rPr>
        <w:t>'</w:t>
      </w:r>
      <w:r w:rsidR="00640BB7">
        <w:rPr>
          <w:lang w:val="uk-UA"/>
        </w:rPr>
        <w:t>язку з закінченням формування Бучанської міської територіальної громади у складів 14 населених пунктів.</w:t>
      </w:r>
      <w:r w:rsidR="009E6FD1" w:rsidRPr="009E6FD1">
        <w:rPr>
          <w:lang w:val="uk-UA"/>
        </w:rPr>
        <w:t xml:space="preserve"> </w:t>
      </w:r>
    </w:p>
    <w:p w:rsidR="005F3FF6" w:rsidRPr="005F3FF6" w:rsidRDefault="005F3FF6" w:rsidP="00C327B6">
      <w:pPr>
        <w:ind w:firstLine="851"/>
        <w:jc w:val="both"/>
        <w:rPr>
          <w:sz w:val="16"/>
          <w:szCs w:val="16"/>
          <w:lang w:val="uk-UA"/>
        </w:rPr>
      </w:pPr>
    </w:p>
    <w:p w:rsidR="00EE1A33" w:rsidRDefault="00C85A97" w:rsidP="005F3FF6">
      <w:pPr>
        <w:jc w:val="both"/>
        <w:rPr>
          <w:lang w:val="uk-UA"/>
        </w:rPr>
      </w:pPr>
      <w:r>
        <w:rPr>
          <w:noProof/>
          <w:lang w:val="uk-UA" w:eastAsia="uk-UA"/>
        </w:rPr>
        <w:drawing>
          <wp:inline distT="0" distB="0" distL="0" distR="0" wp14:anchorId="06A14E1A" wp14:editId="65328454">
            <wp:extent cx="6209665" cy="4528185"/>
            <wp:effectExtent l="0" t="0" r="635" b="5715"/>
            <wp:docPr id="14" name="Діагра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E1A33" w:rsidRPr="005F3FF6" w:rsidRDefault="00EE1A33" w:rsidP="00EE1A33">
      <w:pPr>
        <w:jc w:val="both"/>
        <w:rPr>
          <w:sz w:val="16"/>
          <w:szCs w:val="16"/>
          <w:lang w:val="uk-UA"/>
        </w:rPr>
      </w:pPr>
    </w:p>
    <w:p w:rsidR="00415FD8" w:rsidRDefault="00723E7A" w:rsidP="000917DC">
      <w:pPr>
        <w:autoSpaceDE w:val="0"/>
        <w:autoSpaceDN w:val="0"/>
        <w:adjustRightInd w:val="0"/>
        <w:ind w:firstLine="709"/>
        <w:jc w:val="both"/>
        <w:rPr>
          <w:lang w:val="uk-UA"/>
        </w:rPr>
      </w:pPr>
      <w:r>
        <w:rPr>
          <w:lang w:val="uk-UA"/>
        </w:rPr>
        <w:t xml:space="preserve"> </w:t>
      </w:r>
    </w:p>
    <w:p w:rsidR="00F31C68" w:rsidRDefault="00387427" w:rsidP="000917DC">
      <w:pPr>
        <w:autoSpaceDE w:val="0"/>
        <w:autoSpaceDN w:val="0"/>
        <w:adjustRightInd w:val="0"/>
        <w:ind w:firstLine="709"/>
        <w:jc w:val="both"/>
        <w:rPr>
          <w:lang w:val="uk-UA"/>
        </w:rPr>
      </w:pPr>
      <w:r w:rsidRPr="00387427">
        <w:rPr>
          <w:lang w:val="uk-UA"/>
        </w:rPr>
        <w:t>Відповідно до статті 78 Бюджетного кодексу України видатки бюджету Буча</w:t>
      </w:r>
      <w:r w:rsidR="008317A1">
        <w:rPr>
          <w:lang w:val="uk-UA"/>
        </w:rPr>
        <w:t xml:space="preserve">нської </w:t>
      </w:r>
      <w:r w:rsidR="00EC1763">
        <w:rPr>
          <w:lang w:val="uk-UA"/>
        </w:rPr>
        <w:t xml:space="preserve">міської </w:t>
      </w:r>
      <w:r w:rsidR="00641FD0">
        <w:rPr>
          <w:lang w:val="uk-UA"/>
        </w:rPr>
        <w:t xml:space="preserve">територіальної громади </w:t>
      </w:r>
      <w:r w:rsidRPr="00387427">
        <w:rPr>
          <w:lang w:val="uk-UA"/>
        </w:rPr>
        <w:t xml:space="preserve">проводились відповідно до помісячного розпису </w:t>
      </w:r>
      <w:r w:rsidR="00527460">
        <w:rPr>
          <w:lang w:val="uk-UA"/>
        </w:rPr>
        <w:t>місцевого бюджету</w:t>
      </w:r>
      <w:r w:rsidRPr="00387427">
        <w:rPr>
          <w:lang w:val="uk-UA"/>
        </w:rPr>
        <w:t xml:space="preserve"> згідно встановлених бюджетних призначень головним розпорядникам бюджетних коштів, затверджених рішенням </w:t>
      </w:r>
      <w:r>
        <w:rPr>
          <w:lang w:val="uk-UA"/>
        </w:rPr>
        <w:t>Б</w:t>
      </w:r>
      <w:r w:rsidRPr="00387427">
        <w:rPr>
          <w:lang w:val="uk-UA"/>
        </w:rPr>
        <w:t xml:space="preserve">учанської </w:t>
      </w:r>
      <w:r w:rsidR="0088063E">
        <w:rPr>
          <w:lang w:val="uk-UA"/>
        </w:rPr>
        <w:t xml:space="preserve">міської ради від </w:t>
      </w:r>
      <w:r w:rsidR="00BD73EC">
        <w:rPr>
          <w:lang w:val="uk-UA"/>
        </w:rPr>
        <w:t>24 грудня 2020</w:t>
      </w:r>
      <w:r w:rsidRPr="00387427">
        <w:rPr>
          <w:lang w:val="uk-UA"/>
        </w:rPr>
        <w:t xml:space="preserve"> року № </w:t>
      </w:r>
      <w:r w:rsidR="00BD73EC">
        <w:rPr>
          <w:lang w:val="uk-UA"/>
        </w:rPr>
        <w:t>124</w:t>
      </w:r>
      <w:r w:rsidRPr="00387427">
        <w:rPr>
          <w:lang w:val="uk-UA"/>
        </w:rPr>
        <w:t xml:space="preserve"> -</w:t>
      </w:r>
      <w:r w:rsidR="00BD73EC">
        <w:rPr>
          <w:lang w:val="uk-UA"/>
        </w:rPr>
        <w:t>5</w:t>
      </w:r>
      <w:r w:rsidRPr="00387427">
        <w:rPr>
          <w:lang w:val="uk-UA"/>
        </w:rPr>
        <w:t>-</w:t>
      </w:r>
      <w:r w:rsidRPr="00387427">
        <w:t>V</w:t>
      </w:r>
      <w:r w:rsidRPr="00387427">
        <w:rPr>
          <w:lang w:val="uk-UA"/>
        </w:rPr>
        <w:t>І</w:t>
      </w:r>
      <w:r w:rsidR="00BD73EC">
        <w:rPr>
          <w:lang w:val="en-US"/>
        </w:rPr>
        <w:t>I</w:t>
      </w:r>
      <w:r w:rsidRPr="00387427">
        <w:rPr>
          <w:lang w:val="uk-UA"/>
        </w:rPr>
        <w:t xml:space="preserve">І </w:t>
      </w:r>
      <w:r w:rsidR="0084206E">
        <w:rPr>
          <w:lang w:val="uk-UA"/>
        </w:rPr>
        <w:t>«</w:t>
      </w:r>
      <w:r w:rsidRPr="00387427">
        <w:rPr>
          <w:lang w:val="uk-UA"/>
        </w:rPr>
        <w:t xml:space="preserve"> Про  </w:t>
      </w:r>
      <w:r w:rsidR="0088063E">
        <w:rPr>
          <w:lang w:val="uk-UA"/>
        </w:rPr>
        <w:t xml:space="preserve">місцевий </w:t>
      </w:r>
      <w:r w:rsidRPr="00387427">
        <w:rPr>
          <w:lang w:val="uk-UA"/>
        </w:rPr>
        <w:t>бюджет Буча</w:t>
      </w:r>
      <w:r w:rsidR="0088063E">
        <w:rPr>
          <w:lang w:val="uk-UA"/>
        </w:rPr>
        <w:t>нської міської територіальної громади на 202</w:t>
      </w:r>
      <w:r w:rsidR="00C168C9">
        <w:rPr>
          <w:lang w:val="uk-UA"/>
        </w:rPr>
        <w:t>1</w:t>
      </w:r>
      <w:r w:rsidR="0088063E">
        <w:rPr>
          <w:lang w:val="uk-UA"/>
        </w:rPr>
        <w:t xml:space="preserve"> рік»</w:t>
      </w:r>
      <w:r w:rsidRPr="00387427">
        <w:rPr>
          <w:lang w:val="uk-UA"/>
        </w:rPr>
        <w:t xml:space="preserve"> та змінами до нього. </w:t>
      </w:r>
    </w:p>
    <w:p w:rsidR="005C2817" w:rsidRDefault="005C2817" w:rsidP="005C2817">
      <w:pPr>
        <w:autoSpaceDE w:val="0"/>
        <w:autoSpaceDN w:val="0"/>
        <w:adjustRightInd w:val="0"/>
        <w:jc w:val="both"/>
        <w:rPr>
          <w:lang w:val="uk-UA"/>
        </w:rPr>
      </w:pPr>
      <w:r w:rsidRPr="007A00CC">
        <w:rPr>
          <w:lang w:val="uk-UA"/>
        </w:rPr>
        <w:t xml:space="preserve"> </w:t>
      </w:r>
      <w:r>
        <w:rPr>
          <w:lang w:val="uk-UA"/>
        </w:rPr>
        <w:t xml:space="preserve">           </w:t>
      </w:r>
      <w:r w:rsidRPr="00326DA0">
        <w:rPr>
          <w:lang w:val="uk-UA"/>
        </w:rPr>
        <w:t xml:space="preserve">Протягом </w:t>
      </w:r>
      <w:r>
        <w:rPr>
          <w:lang w:val="en-US"/>
        </w:rPr>
        <w:t>I</w:t>
      </w:r>
      <w:r w:rsidRPr="005C2817">
        <w:t xml:space="preserve"> </w:t>
      </w:r>
      <w:r>
        <w:rPr>
          <w:lang w:val="uk-UA"/>
        </w:rPr>
        <w:t>кварталу 2021</w:t>
      </w:r>
      <w:r w:rsidRPr="00326DA0">
        <w:rPr>
          <w:lang w:val="uk-UA"/>
        </w:rPr>
        <w:t xml:space="preserve"> року із міс</w:t>
      </w:r>
      <w:r>
        <w:rPr>
          <w:lang w:val="uk-UA"/>
        </w:rPr>
        <w:t>цевого</w:t>
      </w:r>
      <w:r w:rsidRPr="00326DA0">
        <w:rPr>
          <w:lang w:val="uk-UA"/>
        </w:rPr>
        <w:t xml:space="preserve"> бюджету Буча</w:t>
      </w:r>
      <w:r>
        <w:rPr>
          <w:lang w:val="uk-UA"/>
        </w:rPr>
        <w:t>нської міської територіальної громади пр</w:t>
      </w:r>
      <w:r w:rsidRPr="00326DA0">
        <w:rPr>
          <w:lang w:val="uk-UA"/>
        </w:rPr>
        <w:t>ов</w:t>
      </w:r>
      <w:r>
        <w:rPr>
          <w:lang w:val="uk-UA"/>
        </w:rPr>
        <w:t>едено видатків на загальну суму 117 750,9 тис. грн,  а саме</w:t>
      </w:r>
      <w:r w:rsidRPr="00326DA0">
        <w:rPr>
          <w:lang w:val="uk-UA"/>
        </w:rPr>
        <w:t xml:space="preserve"> </w:t>
      </w:r>
      <w:r>
        <w:rPr>
          <w:lang w:val="uk-UA"/>
        </w:rPr>
        <w:t>:</w:t>
      </w:r>
    </w:p>
    <w:p w:rsidR="005C2817" w:rsidRDefault="005C2817" w:rsidP="005C2817">
      <w:pPr>
        <w:numPr>
          <w:ilvl w:val="0"/>
          <w:numId w:val="5"/>
        </w:numPr>
        <w:autoSpaceDE w:val="0"/>
        <w:autoSpaceDN w:val="0"/>
        <w:adjustRightInd w:val="0"/>
        <w:jc w:val="both"/>
        <w:rPr>
          <w:lang w:val="uk-UA"/>
        </w:rPr>
      </w:pPr>
      <w:r>
        <w:rPr>
          <w:lang w:val="uk-UA"/>
        </w:rPr>
        <w:t xml:space="preserve">на </w:t>
      </w:r>
      <w:r w:rsidRPr="00326DA0">
        <w:rPr>
          <w:lang w:val="uk-UA"/>
        </w:rPr>
        <w:t>виплату заробітної пл</w:t>
      </w:r>
      <w:r w:rsidR="00527460">
        <w:rPr>
          <w:lang w:val="uk-UA"/>
        </w:rPr>
        <w:t xml:space="preserve">ати з нарахуваннями </w:t>
      </w:r>
      <w:r w:rsidRPr="00326DA0">
        <w:rPr>
          <w:lang w:val="uk-UA"/>
        </w:rPr>
        <w:t xml:space="preserve"> </w:t>
      </w:r>
      <w:r>
        <w:rPr>
          <w:lang w:val="uk-UA"/>
        </w:rPr>
        <w:t>– 80 446,4</w:t>
      </w:r>
      <w:r w:rsidRPr="00326DA0">
        <w:rPr>
          <w:lang w:val="uk-UA"/>
        </w:rPr>
        <w:t xml:space="preserve"> тис. грн</w:t>
      </w:r>
      <w:r>
        <w:rPr>
          <w:lang w:val="uk-UA"/>
        </w:rPr>
        <w:t>;</w:t>
      </w:r>
    </w:p>
    <w:p w:rsidR="005C2817" w:rsidRDefault="005C2817" w:rsidP="005C2817">
      <w:pPr>
        <w:numPr>
          <w:ilvl w:val="0"/>
          <w:numId w:val="5"/>
        </w:numPr>
        <w:autoSpaceDE w:val="0"/>
        <w:autoSpaceDN w:val="0"/>
        <w:adjustRightInd w:val="0"/>
        <w:jc w:val="both"/>
        <w:rPr>
          <w:lang w:val="uk-UA"/>
        </w:rPr>
      </w:pPr>
      <w:r>
        <w:rPr>
          <w:lang w:val="uk-UA"/>
        </w:rPr>
        <w:t>оплату комунальних послуг – 11 507,1 тис. грн;</w:t>
      </w:r>
    </w:p>
    <w:p w:rsidR="005C2817" w:rsidRDefault="005C2817" w:rsidP="005C2817">
      <w:pPr>
        <w:numPr>
          <w:ilvl w:val="0"/>
          <w:numId w:val="5"/>
        </w:numPr>
        <w:autoSpaceDE w:val="0"/>
        <w:autoSpaceDN w:val="0"/>
        <w:adjustRightInd w:val="0"/>
        <w:jc w:val="both"/>
        <w:rPr>
          <w:lang w:val="uk-UA"/>
        </w:rPr>
      </w:pPr>
      <w:r>
        <w:rPr>
          <w:lang w:val="uk-UA"/>
        </w:rPr>
        <w:t>субсидії та поточні трансферти підприємствам ( установам, організаціям) – 8 646,3 тис. грн;</w:t>
      </w:r>
    </w:p>
    <w:p w:rsidR="005C2817" w:rsidRDefault="005C2817" w:rsidP="005C2817">
      <w:pPr>
        <w:numPr>
          <w:ilvl w:val="0"/>
          <w:numId w:val="5"/>
        </w:numPr>
        <w:autoSpaceDE w:val="0"/>
        <w:autoSpaceDN w:val="0"/>
        <w:adjustRightInd w:val="0"/>
        <w:jc w:val="both"/>
        <w:rPr>
          <w:lang w:val="uk-UA"/>
        </w:rPr>
      </w:pPr>
      <w:r>
        <w:rPr>
          <w:lang w:val="uk-UA"/>
        </w:rPr>
        <w:t>інші поточні видатки – 5 186,6 тис. грн;</w:t>
      </w:r>
    </w:p>
    <w:p w:rsidR="005C2817" w:rsidRPr="005C2817" w:rsidRDefault="005C2817" w:rsidP="005C2817">
      <w:pPr>
        <w:numPr>
          <w:ilvl w:val="0"/>
          <w:numId w:val="5"/>
        </w:numPr>
        <w:autoSpaceDE w:val="0"/>
        <w:autoSpaceDN w:val="0"/>
        <w:adjustRightInd w:val="0"/>
        <w:jc w:val="both"/>
        <w:rPr>
          <w:lang w:val="uk-UA"/>
        </w:rPr>
      </w:pPr>
      <w:r>
        <w:rPr>
          <w:lang w:val="uk-UA"/>
        </w:rPr>
        <w:t>на медикаменти та продукти харчування  - 2 941,3 тис. грн;</w:t>
      </w:r>
    </w:p>
    <w:p w:rsidR="005C2817" w:rsidRDefault="005C2817" w:rsidP="005C2817">
      <w:pPr>
        <w:numPr>
          <w:ilvl w:val="0"/>
          <w:numId w:val="5"/>
        </w:numPr>
        <w:autoSpaceDE w:val="0"/>
        <w:autoSpaceDN w:val="0"/>
        <w:adjustRightInd w:val="0"/>
        <w:jc w:val="both"/>
        <w:rPr>
          <w:lang w:val="uk-UA"/>
        </w:rPr>
      </w:pPr>
      <w:r>
        <w:rPr>
          <w:lang w:val="uk-UA"/>
        </w:rPr>
        <w:t>інші виплати населенню – 2 670,8 тис.</w:t>
      </w:r>
      <w:r w:rsidR="00F415B8">
        <w:rPr>
          <w:lang w:val="uk-UA"/>
        </w:rPr>
        <w:t xml:space="preserve"> </w:t>
      </w:r>
      <w:r>
        <w:rPr>
          <w:lang w:val="uk-UA"/>
        </w:rPr>
        <w:t>грн;</w:t>
      </w:r>
    </w:p>
    <w:p w:rsidR="005C2817" w:rsidRDefault="005C2817" w:rsidP="005C2817">
      <w:pPr>
        <w:numPr>
          <w:ilvl w:val="0"/>
          <w:numId w:val="5"/>
        </w:numPr>
        <w:autoSpaceDE w:val="0"/>
        <w:autoSpaceDN w:val="0"/>
        <w:adjustRightInd w:val="0"/>
        <w:jc w:val="both"/>
        <w:rPr>
          <w:lang w:val="uk-UA"/>
        </w:rPr>
      </w:pPr>
      <w:r>
        <w:rPr>
          <w:lang w:val="uk-UA"/>
        </w:rPr>
        <w:t>дослідження і розробки, окремі</w:t>
      </w:r>
      <w:r w:rsidR="00527460">
        <w:rPr>
          <w:lang w:val="uk-UA"/>
        </w:rPr>
        <w:t xml:space="preserve"> заходи</w:t>
      </w:r>
      <w:r>
        <w:rPr>
          <w:lang w:val="uk-UA"/>
        </w:rPr>
        <w:t xml:space="preserve"> по реалізації державних ( регіональних) програм, не віднесені до заходів розвитку – 1 865,1 тис. грн;</w:t>
      </w:r>
    </w:p>
    <w:p w:rsidR="005C2817" w:rsidRDefault="005C2817" w:rsidP="005C2817">
      <w:pPr>
        <w:numPr>
          <w:ilvl w:val="0"/>
          <w:numId w:val="5"/>
        </w:numPr>
        <w:autoSpaceDE w:val="0"/>
        <w:autoSpaceDN w:val="0"/>
        <w:adjustRightInd w:val="0"/>
        <w:jc w:val="both"/>
        <w:rPr>
          <w:lang w:val="uk-UA"/>
        </w:rPr>
      </w:pPr>
      <w:r>
        <w:rPr>
          <w:lang w:val="uk-UA"/>
        </w:rPr>
        <w:lastRenderedPageBreak/>
        <w:t>капітальні трансферти підприємствам</w:t>
      </w:r>
      <w:r w:rsidR="00527460">
        <w:rPr>
          <w:lang w:val="uk-UA"/>
        </w:rPr>
        <w:t xml:space="preserve"> </w:t>
      </w:r>
      <w:r>
        <w:rPr>
          <w:lang w:val="uk-UA"/>
        </w:rPr>
        <w:t>( установам, організаціям) – 1 650,0 тис. грн;</w:t>
      </w:r>
    </w:p>
    <w:p w:rsidR="005C2817" w:rsidRDefault="005C2817" w:rsidP="005C2817">
      <w:pPr>
        <w:numPr>
          <w:ilvl w:val="0"/>
          <w:numId w:val="5"/>
        </w:numPr>
        <w:autoSpaceDE w:val="0"/>
        <w:autoSpaceDN w:val="0"/>
        <w:adjustRightInd w:val="0"/>
        <w:jc w:val="both"/>
        <w:rPr>
          <w:lang w:val="uk-UA"/>
        </w:rPr>
      </w:pPr>
      <w:r>
        <w:rPr>
          <w:lang w:val="uk-UA"/>
        </w:rPr>
        <w:t>оплата послуг</w:t>
      </w:r>
      <w:r w:rsidR="00527460">
        <w:rPr>
          <w:lang w:val="uk-UA"/>
        </w:rPr>
        <w:t xml:space="preserve"> </w:t>
      </w:r>
      <w:r>
        <w:rPr>
          <w:lang w:val="uk-UA"/>
        </w:rPr>
        <w:t>(крім комунальних) та відрядження – 1 453,3 тис. грн;</w:t>
      </w:r>
    </w:p>
    <w:p w:rsidR="005C2817" w:rsidRDefault="005C2817" w:rsidP="005C2817">
      <w:pPr>
        <w:numPr>
          <w:ilvl w:val="0"/>
          <w:numId w:val="5"/>
        </w:numPr>
        <w:autoSpaceDE w:val="0"/>
        <w:autoSpaceDN w:val="0"/>
        <w:adjustRightInd w:val="0"/>
        <w:jc w:val="both"/>
        <w:rPr>
          <w:lang w:val="uk-UA"/>
        </w:rPr>
      </w:pPr>
      <w:r>
        <w:rPr>
          <w:lang w:val="uk-UA"/>
        </w:rPr>
        <w:t>на предмети, обладнання та інвентар – 1 254,9 тис. грн;</w:t>
      </w:r>
    </w:p>
    <w:p w:rsidR="005C2817" w:rsidRDefault="005C2817" w:rsidP="005C2817">
      <w:pPr>
        <w:numPr>
          <w:ilvl w:val="0"/>
          <w:numId w:val="5"/>
        </w:numPr>
        <w:autoSpaceDE w:val="0"/>
        <w:autoSpaceDN w:val="0"/>
        <w:adjustRightInd w:val="0"/>
        <w:jc w:val="both"/>
        <w:rPr>
          <w:lang w:val="uk-UA"/>
        </w:rPr>
      </w:pPr>
      <w:r>
        <w:rPr>
          <w:lang w:val="uk-UA"/>
        </w:rPr>
        <w:t>на придбання обладнання і предметів довгострокового користування – 129,1 тис. грн.</w:t>
      </w:r>
    </w:p>
    <w:p w:rsidR="0088610D" w:rsidRPr="009E7C36" w:rsidRDefault="0023018E" w:rsidP="0088610D">
      <w:pPr>
        <w:autoSpaceDE w:val="0"/>
        <w:autoSpaceDN w:val="0"/>
        <w:adjustRightInd w:val="0"/>
        <w:jc w:val="both"/>
        <w:rPr>
          <w:sz w:val="16"/>
          <w:szCs w:val="16"/>
          <w:lang w:val="uk-UA"/>
        </w:rPr>
      </w:pPr>
      <w:r>
        <w:rPr>
          <w:noProof/>
          <w:lang w:val="uk-UA" w:eastAsia="uk-UA"/>
        </w:rPr>
        <w:drawing>
          <wp:inline distT="0" distB="0" distL="0" distR="0" wp14:anchorId="55BE045A" wp14:editId="3BAAA1AE">
            <wp:extent cx="6210300" cy="3273425"/>
            <wp:effectExtent l="0" t="0" r="0" b="3175"/>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15FD8" w:rsidRDefault="00415FD8" w:rsidP="00AD77A0">
      <w:pPr>
        <w:autoSpaceDE w:val="0"/>
        <w:autoSpaceDN w:val="0"/>
        <w:adjustRightInd w:val="0"/>
        <w:ind w:firstLine="709"/>
        <w:jc w:val="both"/>
        <w:rPr>
          <w:lang w:val="uk-UA"/>
        </w:rPr>
      </w:pPr>
    </w:p>
    <w:p w:rsidR="00255E82" w:rsidRDefault="00255E82" w:rsidP="00AD77A0">
      <w:pPr>
        <w:autoSpaceDE w:val="0"/>
        <w:autoSpaceDN w:val="0"/>
        <w:adjustRightInd w:val="0"/>
        <w:ind w:firstLine="709"/>
        <w:jc w:val="both"/>
        <w:rPr>
          <w:lang w:val="uk-UA"/>
        </w:rPr>
      </w:pPr>
      <w:r w:rsidRPr="00636498">
        <w:rPr>
          <w:lang w:val="uk-UA"/>
        </w:rPr>
        <w:t>На фінансування за галузевим принципом із загального</w:t>
      </w:r>
      <w:r>
        <w:rPr>
          <w:lang w:val="uk-UA"/>
        </w:rPr>
        <w:t xml:space="preserve"> та спеціального </w:t>
      </w:r>
      <w:r w:rsidRPr="00636498">
        <w:rPr>
          <w:lang w:val="uk-UA"/>
        </w:rPr>
        <w:t>фонд</w:t>
      </w:r>
      <w:r>
        <w:rPr>
          <w:lang w:val="uk-UA"/>
        </w:rPr>
        <w:t>ів</w:t>
      </w:r>
      <w:r w:rsidRPr="00636498">
        <w:rPr>
          <w:lang w:val="uk-UA"/>
        </w:rPr>
        <w:t xml:space="preserve"> направлено на:</w:t>
      </w:r>
    </w:p>
    <w:p w:rsidR="00BA50B3" w:rsidRPr="00BA50B3" w:rsidRDefault="00BA50B3" w:rsidP="00AD77A0">
      <w:pPr>
        <w:autoSpaceDE w:val="0"/>
        <w:autoSpaceDN w:val="0"/>
        <w:adjustRightInd w:val="0"/>
        <w:ind w:firstLine="709"/>
        <w:jc w:val="both"/>
        <w:rPr>
          <w:sz w:val="16"/>
          <w:szCs w:val="16"/>
          <w:lang w:val="uk-UA"/>
        </w:rPr>
      </w:pPr>
    </w:p>
    <w:p w:rsidR="000910B2" w:rsidRDefault="00212017" w:rsidP="00AD6849">
      <w:pPr>
        <w:autoSpaceDE w:val="0"/>
        <w:autoSpaceDN w:val="0"/>
        <w:adjustRightInd w:val="0"/>
        <w:jc w:val="both"/>
        <w:rPr>
          <w:lang w:val="uk-UA"/>
        </w:rPr>
      </w:pPr>
      <w:r>
        <w:rPr>
          <w:noProof/>
          <w:lang w:val="uk-UA" w:eastAsia="uk-UA"/>
        </w:rPr>
        <w:drawing>
          <wp:inline distT="0" distB="0" distL="0" distR="0" wp14:anchorId="12EABE6A" wp14:editId="5BA2CF53">
            <wp:extent cx="6209665" cy="4838700"/>
            <wp:effectExtent l="0" t="0" r="635" b="0"/>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A50B3" w:rsidRPr="00636498" w:rsidRDefault="00BA50B3" w:rsidP="00BA50B3">
      <w:pPr>
        <w:ind w:firstLine="709"/>
        <w:jc w:val="both"/>
        <w:rPr>
          <w:lang w:val="uk-UA"/>
        </w:rPr>
      </w:pPr>
      <w:r w:rsidRPr="00636498">
        <w:rPr>
          <w:lang w:val="uk-UA"/>
        </w:rPr>
        <w:lastRenderedPageBreak/>
        <w:t xml:space="preserve">- освіту –  </w:t>
      </w:r>
      <w:r>
        <w:rPr>
          <w:lang w:val="uk-UA"/>
        </w:rPr>
        <w:t xml:space="preserve">76 353,6 тис. грн </w:t>
      </w:r>
      <w:r w:rsidRPr="00636498">
        <w:rPr>
          <w:lang w:val="uk-UA"/>
        </w:rPr>
        <w:t xml:space="preserve">( питома вага – </w:t>
      </w:r>
      <w:r>
        <w:rPr>
          <w:lang w:val="uk-UA"/>
        </w:rPr>
        <w:t>64,8</w:t>
      </w:r>
      <w:r w:rsidRPr="00636498">
        <w:rPr>
          <w:lang w:val="uk-UA"/>
        </w:rPr>
        <w:t xml:space="preserve"> %);</w:t>
      </w:r>
    </w:p>
    <w:p w:rsidR="00BA50B3" w:rsidRPr="00636498" w:rsidRDefault="00BA50B3" w:rsidP="00BA50B3">
      <w:pPr>
        <w:autoSpaceDE w:val="0"/>
        <w:autoSpaceDN w:val="0"/>
        <w:adjustRightInd w:val="0"/>
        <w:ind w:firstLine="709"/>
        <w:jc w:val="both"/>
        <w:rPr>
          <w:lang w:val="uk-UA"/>
        </w:rPr>
      </w:pPr>
      <w:r w:rsidRPr="00636498">
        <w:rPr>
          <w:lang w:val="uk-UA"/>
        </w:rPr>
        <w:t>- на охорону здоров</w:t>
      </w:r>
      <w:r w:rsidRPr="00636498">
        <w:rPr>
          <w:rFonts w:ascii="Calibri" w:hAnsi="Calibri" w:cs="Calibri"/>
          <w:lang w:val="uk-UA"/>
        </w:rPr>
        <w:t>'</w:t>
      </w:r>
      <w:r w:rsidRPr="00636498">
        <w:rPr>
          <w:lang w:val="uk-UA"/>
        </w:rPr>
        <w:t xml:space="preserve">я – </w:t>
      </w:r>
      <w:r>
        <w:rPr>
          <w:lang w:val="uk-UA"/>
        </w:rPr>
        <w:t xml:space="preserve"> 2 655,8 </w:t>
      </w:r>
      <w:r w:rsidRPr="00636498">
        <w:rPr>
          <w:lang w:val="uk-UA"/>
        </w:rPr>
        <w:t xml:space="preserve">тис. </w:t>
      </w:r>
      <w:r>
        <w:rPr>
          <w:lang w:val="uk-UA"/>
        </w:rPr>
        <w:t xml:space="preserve">грн </w:t>
      </w:r>
      <w:r w:rsidRPr="00636498">
        <w:rPr>
          <w:lang w:val="uk-UA"/>
        </w:rPr>
        <w:t xml:space="preserve">( питома вага – </w:t>
      </w:r>
      <w:r>
        <w:rPr>
          <w:lang w:val="uk-UA"/>
        </w:rPr>
        <w:t>2,3</w:t>
      </w:r>
      <w:r w:rsidRPr="00636498">
        <w:rPr>
          <w:lang w:val="uk-UA"/>
        </w:rPr>
        <w:t xml:space="preserve"> %);  </w:t>
      </w:r>
    </w:p>
    <w:p w:rsidR="00BA50B3" w:rsidRPr="00636498" w:rsidRDefault="00BA50B3" w:rsidP="00BA50B3">
      <w:pPr>
        <w:ind w:firstLine="709"/>
        <w:jc w:val="both"/>
        <w:rPr>
          <w:lang w:val="uk-UA"/>
        </w:rPr>
      </w:pPr>
      <w:r w:rsidRPr="00636498">
        <w:rPr>
          <w:lang w:val="uk-UA"/>
        </w:rPr>
        <w:t xml:space="preserve">- соціальний захист та соціальне забезпечення – </w:t>
      </w:r>
      <w:r>
        <w:rPr>
          <w:lang w:val="uk-UA"/>
        </w:rPr>
        <w:t>4 369,9</w:t>
      </w:r>
      <w:r w:rsidRPr="00636498">
        <w:rPr>
          <w:lang w:val="uk-UA"/>
        </w:rPr>
        <w:t xml:space="preserve"> тис. грн.( питома вага  - </w:t>
      </w:r>
      <w:r>
        <w:rPr>
          <w:lang w:val="uk-UA"/>
        </w:rPr>
        <w:t>3,7</w:t>
      </w:r>
      <w:r w:rsidRPr="00636498">
        <w:rPr>
          <w:lang w:val="uk-UA"/>
        </w:rPr>
        <w:t xml:space="preserve"> %);</w:t>
      </w:r>
    </w:p>
    <w:p w:rsidR="00BA50B3" w:rsidRPr="00636498" w:rsidRDefault="00BA50B3" w:rsidP="00BA50B3">
      <w:pPr>
        <w:ind w:firstLine="709"/>
        <w:jc w:val="both"/>
        <w:rPr>
          <w:lang w:val="uk-UA"/>
        </w:rPr>
      </w:pPr>
      <w:r w:rsidRPr="00636498">
        <w:rPr>
          <w:lang w:val="uk-UA"/>
        </w:rPr>
        <w:t xml:space="preserve">- культуру і мистецтво – </w:t>
      </w:r>
      <w:r>
        <w:rPr>
          <w:lang w:val="uk-UA"/>
        </w:rPr>
        <w:t>2 836,2</w:t>
      </w:r>
      <w:r w:rsidRPr="00636498">
        <w:rPr>
          <w:lang w:val="uk-UA"/>
        </w:rPr>
        <w:t xml:space="preserve"> тис. грн.( питома вага – </w:t>
      </w:r>
      <w:r>
        <w:rPr>
          <w:lang w:val="uk-UA"/>
        </w:rPr>
        <w:t>2,4</w:t>
      </w:r>
      <w:r w:rsidRPr="00636498">
        <w:rPr>
          <w:lang w:val="uk-UA"/>
        </w:rPr>
        <w:t xml:space="preserve"> %);</w:t>
      </w:r>
    </w:p>
    <w:p w:rsidR="00BA50B3" w:rsidRPr="00636498" w:rsidRDefault="00BA50B3" w:rsidP="00BA50B3">
      <w:pPr>
        <w:ind w:firstLine="709"/>
        <w:jc w:val="both"/>
        <w:rPr>
          <w:lang w:val="uk-UA"/>
        </w:rPr>
      </w:pPr>
      <w:r w:rsidRPr="00636498">
        <w:rPr>
          <w:lang w:val="uk-UA"/>
        </w:rPr>
        <w:t xml:space="preserve">- фізичну культуру і спорт –  </w:t>
      </w:r>
      <w:r>
        <w:rPr>
          <w:lang w:val="uk-UA"/>
        </w:rPr>
        <w:t>976,7</w:t>
      </w:r>
      <w:r w:rsidRPr="00636498">
        <w:rPr>
          <w:lang w:val="uk-UA"/>
        </w:rPr>
        <w:t xml:space="preserve"> тис. грн.( питома вага – </w:t>
      </w:r>
      <w:r>
        <w:rPr>
          <w:lang w:val="uk-UA"/>
        </w:rPr>
        <w:t xml:space="preserve">0,8 </w:t>
      </w:r>
      <w:r w:rsidRPr="00636498">
        <w:rPr>
          <w:lang w:val="uk-UA"/>
        </w:rPr>
        <w:t>%);</w:t>
      </w:r>
    </w:p>
    <w:p w:rsidR="00BA50B3" w:rsidRPr="00636498" w:rsidRDefault="00BA50B3" w:rsidP="00BA50B3">
      <w:pPr>
        <w:ind w:firstLine="709"/>
        <w:jc w:val="both"/>
        <w:rPr>
          <w:lang w:val="uk-UA"/>
        </w:rPr>
      </w:pPr>
      <w:r w:rsidRPr="00636498">
        <w:rPr>
          <w:lang w:val="uk-UA"/>
        </w:rPr>
        <w:t xml:space="preserve">- на житлово-комунальне господарство, благоустрій міста направлено – </w:t>
      </w:r>
      <w:r>
        <w:rPr>
          <w:lang w:val="uk-UA"/>
        </w:rPr>
        <w:t>16 334,2</w:t>
      </w:r>
      <w:r w:rsidRPr="00636498">
        <w:rPr>
          <w:lang w:val="uk-UA"/>
        </w:rPr>
        <w:t xml:space="preserve"> тис. грн.( питома вага – </w:t>
      </w:r>
      <w:r>
        <w:rPr>
          <w:lang w:val="uk-UA"/>
        </w:rPr>
        <w:t>13,9</w:t>
      </w:r>
      <w:r w:rsidRPr="00636498">
        <w:rPr>
          <w:lang w:val="uk-UA"/>
        </w:rPr>
        <w:t xml:space="preserve"> %) ;</w:t>
      </w:r>
    </w:p>
    <w:p w:rsidR="00BA50B3" w:rsidRPr="00636498" w:rsidRDefault="00BA50B3" w:rsidP="00BA50B3">
      <w:pPr>
        <w:ind w:firstLine="709"/>
        <w:jc w:val="both"/>
        <w:rPr>
          <w:lang w:val="uk-UA"/>
        </w:rPr>
      </w:pPr>
      <w:r w:rsidRPr="00636498">
        <w:rPr>
          <w:lang w:val="uk-UA"/>
        </w:rPr>
        <w:t>- економічна діяльність  у т.</w:t>
      </w:r>
      <w:r>
        <w:rPr>
          <w:lang w:val="uk-UA"/>
        </w:rPr>
        <w:t xml:space="preserve"> </w:t>
      </w:r>
      <w:r w:rsidRPr="00636498">
        <w:rPr>
          <w:lang w:val="uk-UA"/>
        </w:rPr>
        <w:t xml:space="preserve">ч. на утримання доріг, іншу діяльність – </w:t>
      </w:r>
      <w:r>
        <w:rPr>
          <w:lang w:val="uk-UA"/>
        </w:rPr>
        <w:t xml:space="preserve"> 2 348,5</w:t>
      </w:r>
      <w:r w:rsidRPr="00636498">
        <w:rPr>
          <w:lang w:val="uk-UA"/>
        </w:rPr>
        <w:t xml:space="preserve"> тис. грн. ( питома вага  - </w:t>
      </w:r>
      <w:r>
        <w:rPr>
          <w:lang w:val="uk-UA"/>
        </w:rPr>
        <w:t>1,9</w:t>
      </w:r>
      <w:r w:rsidRPr="00636498">
        <w:rPr>
          <w:lang w:val="uk-UA"/>
        </w:rPr>
        <w:t xml:space="preserve"> %);</w:t>
      </w:r>
    </w:p>
    <w:p w:rsidR="00BA50B3" w:rsidRPr="00636498" w:rsidRDefault="00BA50B3" w:rsidP="00BA50B3">
      <w:pPr>
        <w:ind w:firstLine="709"/>
        <w:jc w:val="both"/>
        <w:rPr>
          <w:lang w:val="uk-UA"/>
        </w:rPr>
      </w:pPr>
      <w:r w:rsidRPr="00636498">
        <w:rPr>
          <w:lang w:val="uk-UA"/>
        </w:rPr>
        <w:t xml:space="preserve">- на органи місцевого самоврядування – </w:t>
      </w:r>
      <w:r>
        <w:rPr>
          <w:lang w:val="uk-UA"/>
        </w:rPr>
        <w:t>11 876,0</w:t>
      </w:r>
      <w:r w:rsidRPr="00636498">
        <w:rPr>
          <w:lang w:val="uk-UA"/>
        </w:rPr>
        <w:t xml:space="preserve"> тис. грн.( питома вага – </w:t>
      </w:r>
      <w:r>
        <w:rPr>
          <w:lang w:val="uk-UA"/>
        </w:rPr>
        <w:t>10,1</w:t>
      </w:r>
      <w:r w:rsidRPr="00636498">
        <w:rPr>
          <w:lang w:val="uk-UA"/>
        </w:rPr>
        <w:t xml:space="preserve"> %). </w:t>
      </w:r>
    </w:p>
    <w:p w:rsidR="0088610D" w:rsidRDefault="00EB5761" w:rsidP="00EB5761">
      <w:pPr>
        <w:autoSpaceDE w:val="0"/>
        <w:autoSpaceDN w:val="0"/>
        <w:adjustRightInd w:val="0"/>
        <w:ind w:firstLine="708"/>
        <w:jc w:val="both"/>
        <w:rPr>
          <w:lang w:val="uk-UA"/>
        </w:rPr>
      </w:pPr>
      <w:r>
        <w:rPr>
          <w:lang w:val="uk-UA"/>
        </w:rPr>
        <w:t>В</w:t>
      </w:r>
      <w:r w:rsidR="0088610D">
        <w:rPr>
          <w:lang w:val="uk-UA"/>
        </w:rPr>
        <w:t>сі видатки, заявлені головними розпорядниками коштів бюджету Бучанської міської територіальної громади</w:t>
      </w:r>
      <w:r w:rsidRPr="00EB5761">
        <w:rPr>
          <w:lang w:val="uk-UA"/>
        </w:rPr>
        <w:t xml:space="preserve"> </w:t>
      </w:r>
      <w:r>
        <w:rPr>
          <w:lang w:val="uk-UA"/>
        </w:rPr>
        <w:t>відповідно до фактично наданих послуг,</w:t>
      </w:r>
      <w:r w:rsidR="00766C54">
        <w:rPr>
          <w:lang w:val="uk-UA"/>
        </w:rPr>
        <w:t xml:space="preserve"> виконаних робіт та отриманих товарів,</w:t>
      </w:r>
      <w:r w:rsidRPr="00EB5761">
        <w:rPr>
          <w:lang w:val="uk-UA"/>
        </w:rPr>
        <w:t xml:space="preserve"> </w:t>
      </w:r>
      <w:r>
        <w:rPr>
          <w:lang w:val="uk-UA"/>
        </w:rPr>
        <w:t>профінансовані</w:t>
      </w:r>
      <w:r w:rsidRPr="00EB5761">
        <w:rPr>
          <w:lang w:val="uk-UA"/>
        </w:rPr>
        <w:t xml:space="preserve"> </w:t>
      </w:r>
      <w:r>
        <w:rPr>
          <w:lang w:val="uk-UA"/>
        </w:rPr>
        <w:t>у повному обсязі.</w:t>
      </w:r>
    </w:p>
    <w:p w:rsidR="005C2817" w:rsidRDefault="0088610D" w:rsidP="00AD77A0">
      <w:pPr>
        <w:autoSpaceDE w:val="0"/>
        <w:autoSpaceDN w:val="0"/>
        <w:adjustRightInd w:val="0"/>
        <w:ind w:firstLine="709"/>
        <w:jc w:val="both"/>
        <w:rPr>
          <w:lang w:val="uk-UA"/>
        </w:rPr>
      </w:pPr>
      <w:r w:rsidRPr="005C1466">
        <w:rPr>
          <w:lang w:val="uk-UA"/>
        </w:rPr>
        <w:t>Заробітна плата виплачується своєчасно</w:t>
      </w:r>
      <w:r w:rsidR="00EB5761">
        <w:rPr>
          <w:lang w:val="uk-UA"/>
        </w:rPr>
        <w:t xml:space="preserve"> та відповідно до встановлених К</w:t>
      </w:r>
      <w:r w:rsidRPr="005C1466">
        <w:rPr>
          <w:lang w:val="uk-UA"/>
        </w:rPr>
        <w:t>олективними договорами термінів.</w:t>
      </w:r>
      <w:r>
        <w:rPr>
          <w:lang w:val="uk-UA"/>
        </w:rPr>
        <w:t xml:space="preserve"> </w:t>
      </w:r>
      <w:r w:rsidR="005C2817" w:rsidRPr="005C1466">
        <w:rPr>
          <w:lang w:val="uk-UA"/>
        </w:rPr>
        <w:t>Прострочена заборгованість із</w:t>
      </w:r>
      <w:r w:rsidR="00EB5761">
        <w:rPr>
          <w:lang w:val="uk-UA"/>
        </w:rPr>
        <w:t xml:space="preserve"> виплати </w:t>
      </w:r>
      <w:r w:rsidR="005C2817" w:rsidRPr="005C1466">
        <w:rPr>
          <w:lang w:val="uk-UA"/>
        </w:rPr>
        <w:t xml:space="preserve"> заробітної плати та</w:t>
      </w:r>
      <w:r w:rsidR="00EB5761">
        <w:rPr>
          <w:lang w:val="uk-UA"/>
        </w:rPr>
        <w:t xml:space="preserve"> оплати за спожиті енергоносії і комунальні послуги</w:t>
      </w:r>
      <w:r w:rsidR="005C2817" w:rsidRPr="005C1466">
        <w:rPr>
          <w:lang w:val="uk-UA"/>
        </w:rPr>
        <w:t xml:space="preserve"> відсутня. </w:t>
      </w:r>
    </w:p>
    <w:p w:rsidR="005C2817" w:rsidRDefault="0088610D" w:rsidP="000917DC">
      <w:pPr>
        <w:autoSpaceDE w:val="0"/>
        <w:autoSpaceDN w:val="0"/>
        <w:adjustRightInd w:val="0"/>
        <w:ind w:firstLine="709"/>
        <w:jc w:val="both"/>
        <w:rPr>
          <w:lang w:val="uk-UA"/>
        </w:rPr>
      </w:pPr>
      <w:r>
        <w:rPr>
          <w:lang w:val="uk-UA"/>
        </w:rPr>
        <w:t xml:space="preserve">Кредиторська заборгованість на кінець звітного періоду складає 4 977,2 тис. грн, з них </w:t>
      </w:r>
      <w:r w:rsidR="00EB5761">
        <w:rPr>
          <w:lang w:val="uk-UA"/>
        </w:rPr>
        <w:t>-</w:t>
      </w:r>
      <w:r>
        <w:rPr>
          <w:lang w:val="uk-UA"/>
        </w:rPr>
        <w:t>по загальному фонду 4 954,7 тис. грн ( на виплату заробітної плати та нарахувань на неї, термін якої ще настав – 4 202,5 тис. грн; продукти харчування – 15,4 тис. грн; оплата комунальних послуг – 325,5 тис.</w:t>
      </w:r>
      <w:r w:rsidR="002D26E9">
        <w:rPr>
          <w:lang w:val="uk-UA"/>
        </w:rPr>
        <w:t xml:space="preserve"> </w:t>
      </w:r>
      <w:r>
        <w:rPr>
          <w:lang w:val="uk-UA"/>
        </w:rPr>
        <w:t xml:space="preserve">грн; інші виплати населенню – 274,8 тис. грн., інші </w:t>
      </w:r>
      <w:r w:rsidR="002D26E9">
        <w:rPr>
          <w:lang w:val="uk-UA"/>
        </w:rPr>
        <w:t>–</w:t>
      </w:r>
      <w:r>
        <w:rPr>
          <w:lang w:val="uk-UA"/>
        </w:rPr>
        <w:t xml:space="preserve"> </w:t>
      </w:r>
      <w:r w:rsidR="002D26E9">
        <w:rPr>
          <w:lang w:val="uk-UA"/>
        </w:rPr>
        <w:t>136,5 тис. грн), по спеціальному фонду 22,5 тис. грн ( на виплату заробітної плати, термін якої ще не настав).</w:t>
      </w:r>
    </w:p>
    <w:p w:rsidR="0046338E" w:rsidRDefault="0046338E" w:rsidP="00DE355C">
      <w:pPr>
        <w:jc w:val="center"/>
        <w:rPr>
          <w:b/>
          <w:lang w:val="uk-UA"/>
        </w:rPr>
      </w:pPr>
    </w:p>
    <w:p w:rsidR="00591559" w:rsidRDefault="00DE355C" w:rsidP="00DE355C">
      <w:pPr>
        <w:jc w:val="center"/>
        <w:rPr>
          <w:b/>
          <w:lang w:val="uk-UA"/>
        </w:rPr>
      </w:pPr>
      <w:r w:rsidRPr="00DE355C">
        <w:rPr>
          <w:b/>
          <w:lang w:val="uk-UA"/>
        </w:rPr>
        <w:t>Видатки загаль</w:t>
      </w:r>
      <w:r w:rsidR="00F67AC5">
        <w:rPr>
          <w:b/>
          <w:lang w:val="uk-UA"/>
        </w:rPr>
        <w:t xml:space="preserve">ного фонду міського бюджету за </w:t>
      </w:r>
      <w:r w:rsidR="00170515">
        <w:rPr>
          <w:b/>
          <w:lang w:val="en-US"/>
        </w:rPr>
        <w:t>I</w:t>
      </w:r>
      <w:r w:rsidR="00170515" w:rsidRPr="00170515">
        <w:rPr>
          <w:b/>
        </w:rPr>
        <w:t xml:space="preserve"> </w:t>
      </w:r>
      <w:r w:rsidR="00170515">
        <w:rPr>
          <w:b/>
          <w:lang w:val="uk-UA"/>
        </w:rPr>
        <w:t xml:space="preserve">квартал </w:t>
      </w:r>
      <w:r w:rsidRPr="00DE355C">
        <w:rPr>
          <w:b/>
          <w:lang w:val="uk-UA"/>
        </w:rPr>
        <w:t>20</w:t>
      </w:r>
      <w:r w:rsidR="00170515">
        <w:rPr>
          <w:b/>
          <w:lang w:val="uk-UA"/>
        </w:rPr>
        <w:t xml:space="preserve">21 </w:t>
      </w:r>
      <w:r w:rsidRPr="00DE355C">
        <w:rPr>
          <w:b/>
          <w:lang w:val="uk-UA"/>
        </w:rPr>
        <w:t>р</w:t>
      </w:r>
      <w:r w:rsidR="00ED4763">
        <w:rPr>
          <w:b/>
          <w:lang w:val="uk-UA"/>
        </w:rPr>
        <w:t>о</w:t>
      </w:r>
      <w:r w:rsidR="0051638E">
        <w:rPr>
          <w:b/>
          <w:lang w:val="uk-UA"/>
        </w:rPr>
        <w:t>к</w:t>
      </w:r>
      <w:r w:rsidR="00ED4763">
        <w:rPr>
          <w:b/>
          <w:lang w:val="uk-UA"/>
        </w:rPr>
        <w:t>у</w:t>
      </w:r>
      <w:r w:rsidRPr="00DE355C">
        <w:rPr>
          <w:b/>
          <w:lang w:val="uk-UA"/>
        </w:rPr>
        <w:t xml:space="preserve">  </w:t>
      </w:r>
    </w:p>
    <w:p w:rsidR="00DE355C" w:rsidRDefault="00DE355C" w:rsidP="00DE355C">
      <w:pPr>
        <w:jc w:val="center"/>
        <w:rPr>
          <w:b/>
          <w:lang w:val="uk-UA"/>
        </w:rPr>
      </w:pPr>
      <w:r w:rsidRPr="00DE355C">
        <w:rPr>
          <w:b/>
          <w:lang w:val="uk-UA"/>
        </w:rPr>
        <w:t>за програмною класифікацією видатків</w:t>
      </w:r>
    </w:p>
    <w:p w:rsidR="00822885" w:rsidRPr="00DE355C" w:rsidRDefault="00822885" w:rsidP="00DE355C">
      <w:pPr>
        <w:jc w:val="center"/>
        <w:rPr>
          <w:b/>
          <w:lang w:val="uk-UA"/>
        </w:rPr>
      </w:pPr>
    </w:p>
    <w:p w:rsidR="00DE355C" w:rsidRPr="009B0D42" w:rsidRDefault="00822885" w:rsidP="0046236F">
      <w:pPr>
        <w:ind w:firstLine="709"/>
        <w:jc w:val="both"/>
        <w:rPr>
          <w:lang w:val="uk-UA"/>
        </w:rPr>
      </w:pPr>
      <w:r>
        <w:rPr>
          <w:lang w:val="uk-UA"/>
        </w:rPr>
        <w:t>За нормами чинного законодавства фінансування видатків місцевого бюджету Бучанської міської ОТГ здійснюється за програмно</w:t>
      </w:r>
      <w:r w:rsidR="00EB5761">
        <w:rPr>
          <w:lang w:val="uk-UA"/>
        </w:rPr>
        <w:t>-</w:t>
      </w:r>
      <w:r>
        <w:rPr>
          <w:lang w:val="uk-UA"/>
        </w:rPr>
        <w:t xml:space="preserve"> цільовим методом.</w:t>
      </w:r>
      <w:r w:rsidR="00403368">
        <w:rPr>
          <w:lang w:val="uk-UA"/>
        </w:rPr>
        <w:t xml:space="preserve"> За </w:t>
      </w:r>
      <w:r w:rsidR="00403368">
        <w:rPr>
          <w:lang w:val="en-US"/>
        </w:rPr>
        <w:t>I</w:t>
      </w:r>
      <w:r w:rsidR="00403368" w:rsidRPr="00403368">
        <w:t xml:space="preserve"> </w:t>
      </w:r>
      <w:r w:rsidR="00403368">
        <w:t>квартал 2021 року</w:t>
      </w:r>
      <w:r w:rsidR="00900B0F">
        <w:rPr>
          <w:lang w:val="uk-UA"/>
        </w:rPr>
        <w:t xml:space="preserve"> видатки провод</w:t>
      </w:r>
      <w:r w:rsidR="00403368">
        <w:rPr>
          <w:lang w:val="uk-UA"/>
        </w:rPr>
        <w:t>илися</w:t>
      </w:r>
      <w:r w:rsidR="009B0D42">
        <w:rPr>
          <w:lang w:val="uk-UA"/>
        </w:rPr>
        <w:t xml:space="preserve"> </w:t>
      </w:r>
      <w:r w:rsidR="005B0FFE">
        <w:rPr>
          <w:lang w:val="uk-UA"/>
        </w:rPr>
        <w:t>по</w:t>
      </w:r>
      <w:r w:rsidR="009B0D42">
        <w:rPr>
          <w:lang w:val="uk-UA"/>
        </w:rPr>
        <w:t xml:space="preserve"> </w:t>
      </w:r>
      <w:r w:rsidR="008C1BBB">
        <w:rPr>
          <w:lang w:val="uk-UA"/>
        </w:rPr>
        <w:t>72</w:t>
      </w:r>
      <w:r w:rsidR="009B0D42">
        <w:rPr>
          <w:lang w:val="uk-UA"/>
        </w:rPr>
        <w:t xml:space="preserve"> бюджетни</w:t>
      </w:r>
      <w:r w:rsidR="00A0794D">
        <w:rPr>
          <w:lang w:val="uk-UA"/>
        </w:rPr>
        <w:t>м</w:t>
      </w:r>
      <w:r w:rsidR="009B0D42">
        <w:rPr>
          <w:lang w:val="uk-UA"/>
        </w:rPr>
        <w:t xml:space="preserve"> програм</w:t>
      </w:r>
      <w:r w:rsidR="005B0FFE">
        <w:rPr>
          <w:lang w:val="uk-UA"/>
        </w:rPr>
        <w:t>ам</w:t>
      </w:r>
      <w:r w:rsidR="009B0D42">
        <w:rPr>
          <w:lang w:val="uk-UA"/>
        </w:rPr>
        <w:t xml:space="preserve"> відповідно додатку №3 до рішення «Про місц</w:t>
      </w:r>
      <w:r w:rsidR="006F7824">
        <w:rPr>
          <w:lang w:val="uk-UA"/>
        </w:rPr>
        <w:t xml:space="preserve">евий бюджет Бучанської міської </w:t>
      </w:r>
      <w:r w:rsidR="009B0D42">
        <w:rPr>
          <w:lang w:val="uk-UA"/>
        </w:rPr>
        <w:t>територіальної громади на 202</w:t>
      </w:r>
      <w:r w:rsidR="006F7824">
        <w:rPr>
          <w:lang w:val="uk-UA"/>
        </w:rPr>
        <w:t>1</w:t>
      </w:r>
      <w:r w:rsidR="009B0D42">
        <w:rPr>
          <w:lang w:val="uk-UA"/>
        </w:rPr>
        <w:t xml:space="preserve"> рік» зі змінами.</w:t>
      </w:r>
    </w:p>
    <w:p w:rsidR="00907E56" w:rsidRPr="00DE355C" w:rsidRDefault="00907E56" w:rsidP="00822885">
      <w:pPr>
        <w:ind w:firstLine="709"/>
        <w:rPr>
          <w:lang w:val="uk-UA"/>
        </w:rPr>
      </w:pPr>
    </w:p>
    <w:p w:rsidR="00DE355C" w:rsidRPr="00DE355C" w:rsidRDefault="00DE355C" w:rsidP="00DE355C">
      <w:pPr>
        <w:jc w:val="center"/>
        <w:rPr>
          <w:b/>
          <w:i/>
          <w:sz w:val="26"/>
          <w:szCs w:val="26"/>
          <w:u w:val="single"/>
          <w:lang w:val="uk-UA"/>
        </w:rPr>
      </w:pPr>
      <w:r w:rsidRPr="00DE355C">
        <w:rPr>
          <w:b/>
          <w:i/>
          <w:sz w:val="26"/>
          <w:szCs w:val="26"/>
          <w:u w:val="single"/>
          <w:lang w:val="uk-UA"/>
        </w:rPr>
        <w:t>0100 Державне управління</w:t>
      </w:r>
    </w:p>
    <w:p w:rsidR="00DE355C" w:rsidRPr="0024169D" w:rsidRDefault="00DE355C" w:rsidP="00DE355C">
      <w:pPr>
        <w:rPr>
          <w:sz w:val="16"/>
          <w:szCs w:val="16"/>
          <w:lang w:val="uk-UA"/>
        </w:rPr>
      </w:pPr>
    </w:p>
    <w:p w:rsidR="00DE355C" w:rsidRDefault="00DE355C" w:rsidP="00DF6F9F">
      <w:pPr>
        <w:ind w:firstLine="709"/>
        <w:jc w:val="both"/>
        <w:rPr>
          <w:lang w:val="uk-UA"/>
        </w:rPr>
      </w:pPr>
      <w:r w:rsidRPr="00DE355C">
        <w:rPr>
          <w:lang w:val="uk-UA"/>
        </w:rPr>
        <w:t>Діяльність органів місцевого самоврядування забезпечує організацію роботи за всіма напрямками соціально-економічного та культурного розвитку міста, сприяє вирішенню завдань забезпечення законності, супроводжує та контролює виконання місцевих та державних програм на місцевому рівні, забезпечує безперебійну діяльність комунальних підприємств та надає відповідні державні послуги.</w:t>
      </w:r>
    </w:p>
    <w:p w:rsidR="00E66D57" w:rsidRPr="00D767D7" w:rsidRDefault="00DA2647" w:rsidP="00E66D57">
      <w:pPr>
        <w:ind w:firstLine="851"/>
        <w:jc w:val="both"/>
        <w:rPr>
          <w:lang w:val="uk-UA"/>
        </w:rPr>
      </w:pPr>
      <w:r w:rsidRPr="00DA2647">
        <w:rPr>
          <w:lang w:val="uk-UA"/>
        </w:rPr>
        <w:t>По галузі «</w:t>
      </w:r>
      <w:r w:rsidR="006E3CF2">
        <w:rPr>
          <w:lang w:val="uk-UA"/>
        </w:rPr>
        <w:t xml:space="preserve"> </w:t>
      </w:r>
      <w:r w:rsidRPr="00DA2647">
        <w:rPr>
          <w:lang w:val="uk-UA"/>
        </w:rPr>
        <w:t>Державне управління</w:t>
      </w:r>
      <w:r w:rsidR="006E3CF2">
        <w:rPr>
          <w:lang w:val="uk-UA"/>
        </w:rPr>
        <w:t xml:space="preserve"> </w:t>
      </w:r>
      <w:r w:rsidRPr="00DA2647">
        <w:rPr>
          <w:lang w:val="uk-UA"/>
        </w:rPr>
        <w:t>» виконання плану по загальному фонду складає 63,4% ( уточнений план 18 616,6 тис. грн, касові видатки 11 799,1 тис</w:t>
      </w:r>
      <w:r w:rsidR="00917945">
        <w:rPr>
          <w:lang w:val="uk-UA"/>
        </w:rPr>
        <w:t xml:space="preserve">. грн), по спеціальному фонду </w:t>
      </w:r>
      <w:r w:rsidRPr="00DA2647">
        <w:rPr>
          <w:lang w:val="uk-UA"/>
        </w:rPr>
        <w:t xml:space="preserve"> 2,6% ( уточнений план 3 018,9 тис. грн,  касові складають 76,9 тис. грн).</w:t>
      </w:r>
      <w:r w:rsidR="00E66D57" w:rsidRPr="00E66D57">
        <w:rPr>
          <w:lang w:val="uk-UA"/>
        </w:rPr>
        <w:t xml:space="preserve"> </w:t>
      </w:r>
      <w:r w:rsidR="00E66D57" w:rsidRPr="009A12E0">
        <w:rPr>
          <w:lang w:val="uk-UA"/>
        </w:rPr>
        <w:t xml:space="preserve">Відповідно до минулого періоду 2020 року видатки загального фонду збільшені на </w:t>
      </w:r>
      <w:r w:rsidR="00E31CE9" w:rsidRPr="009A12E0">
        <w:rPr>
          <w:lang w:val="uk-UA"/>
        </w:rPr>
        <w:t>3 721,8</w:t>
      </w:r>
      <w:r w:rsidR="00E66D57" w:rsidRPr="009A12E0">
        <w:rPr>
          <w:lang w:val="uk-UA"/>
        </w:rPr>
        <w:t xml:space="preserve"> тис. грн., або на </w:t>
      </w:r>
      <w:r w:rsidR="00E31CE9" w:rsidRPr="004A04DE">
        <w:rPr>
          <w:lang w:val="uk-UA"/>
        </w:rPr>
        <w:t xml:space="preserve">46,0 </w:t>
      </w:r>
      <w:r w:rsidR="00E66D57" w:rsidRPr="004A04DE">
        <w:rPr>
          <w:lang w:val="uk-UA"/>
        </w:rPr>
        <w:t xml:space="preserve">%. </w:t>
      </w:r>
      <w:r w:rsidR="00E66D57" w:rsidRPr="009A12E0">
        <w:rPr>
          <w:lang w:val="uk-UA"/>
        </w:rPr>
        <w:t>Збільшення видаткової частини зумовлено збільшен</w:t>
      </w:r>
      <w:r w:rsidR="00E31CE9" w:rsidRPr="009A12E0">
        <w:rPr>
          <w:lang w:val="uk-UA"/>
        </w:rPr>
        <w:t xml:space="preserve">ням штатної чисельності </w:t>
      </w:r>
      <w:r w:rsidR="00110A5B">
        <w:rPr>
          <w:lang w:val="uk-UA"/>
        </w:rPr>
        <w:t>( + 14,5 шт.од.)</w:t>
      </w:r>
      <w:r w:rsidR="00E66D57" w:rsidRPr="009A12E0">
        <w:rPr>
          <w:lang w:val="uk-UA"/>
        </w:rPr>
        <w:t xml:space="preserve"> в зв</w:t>
      </w:r>
      <w:r w:rsidR="00E66D57" w:rsidRPr="009A12E0">
        <w:rPr>
          <w:rFonts w:ascii="Calibri" w:hAnsi="Calibri" w:cs="Calibri"/>
          <w:lang w:val="uk-UA"/>
        </w:rPr>
        <w:t>'</w:t>
      </w:r>
      <w:r w:rsidR="00E66D57" w:rsidRPr="009A12E0">
        <w:rPr>
          <w:lang w:val="uk-UA"/>
        </w:rPr>
        <w:t>язку з закінченням формування Бучанської міської територіальної громади у складів 14 населених пунктів.</w:t>
      </w:r>
      <w:r w:rsidR="00E66D57" w:rsidRPr="00E66D57">
        <w:rPr>
          <w:color w:val="FF0000"/>
          <w:lang w:val="uk-UA"/>
        </w:rPr>
        <w:t xml:space="preserve"> </w:t>
      </w:r>
      <w:r w:rsidR="00E66D57" w:rsidRPr="001852EF">
        <w:rPr>
          <w:lang w:val="uk-UA"/>
        </w:rPr>
        <w:t xml:space="preserve">Видатки спеціального фонду зменшені на </w:t>
      </w:r>
      <w:r w:rsidR="001852EF" w:rsidRPr="001852EF">
        <w:rPr>
          <w:lang w:val="uk-UA"/>
        </w:rPr>
        <w:t>197,7</w:t>
      </w:r>
      <w:r w:rsidR="00E66D57" w:rsidRPr="001852EF">
        <w:rPr>
          <w:lang w:val="uk-UA"/>
        </w:rPr>
        <w:t xml:space="preserve">тис. грн, або на </w:t>
      </w:r>
      <w:r w:rsidR="001852EF" w:rsidRPr="001852EF">
        <w:rPr>
          <w:lang w:val="uk-UA"/>
        </w:rPr>
        <w:t xml:space="preserve">72,0 </w:t>
      </w:r>
      <w:r w:rsidR="00E66D57" w:rsidRPr="001852EF">
        <w:rPr>
          <w:lang w:val="uk-UA"/>
        </w:rPr>
        <w:t xml:space="preserve">%. </w:t>
      </w:r>
    </w:p>
    <w:p w:rsidR="0049295C" w:rsidRPr="0049295C" w:rsidRDefault="0049295C" w:rsidP="00B02AF7">
      <w:pPr>
        <w:autoSpaceDE w:val="0"/>
        <w:autoSpaceDN w:val="0"/>
        <w:adjustRightInd w:val="0"/>
        <w:jc w:val="both"/>
        <w:rPr>
          <w:sz w:val="16"/>
          <w:szCs w:val="16"/>
          <w:lang w:val="uk-UA"/>
        </w:rPr>
      </w:pPr>
    </w:p>
    <w:p w:rsidR="00B02AF7" w:rsidRDefault="00B02AF7" w:rsidP="00B02AF7">
      <w:pPr>
        <w:autoSpaceDE w:val="0"/>
        <w:autoSpaceDN w:val="0"/>
        <w:adjustRightInd w:val="0"/>
        <w:jc w:val="both"/>
        <w:rPr>
          <w:lang w:val="uk-UA"/>
        </w:rPr>
      </w:pPr>
      <w:r w:rsidRPr="007A00CC">
        <w:rPr>
          <w:lang w:val="uk-UA"/>
        </w:rPr>
        <w:t xml:space="preserve"> </w:t>
      </w:r>
      <w:r>
        <w:rPr>
          <w:lang w:val="uk-UA"/>
        </w:rPr>
        <w:t xml:space="preserve">           </w:t>
      </w:r>
      <w:r w:rsidR="006127D4">
        <w:rPr>
          <w:lang w:val="uk-UA"/>
        </w:rPr>
        <w:t xml:space="preserve">У розрізі економічної класифікації по даній галузі видатки були спрямовані на </w:t>
      </w:r>
      <w:r>
        <w:rPr>
          <w:lang w:val="uk-UA"/>
        </w:rPr>
        <w:t>:</w:t>
      </w:r>
    </w:p>
    <w:p w:rsidR="00B02AF7" w:rsidRDefault="00B02AF7" w:rsidP="00B02AF7">
      <w:pPr>
        <w:numPr>
          <w:ilvl w:val="0"/>
          <w:numId w:val="5"/>
        </w:numPr>
        <w:autoSpaceDE w:val="0"/>
        <w:autoSpaceDN w:val="0"/>
        <w:adjustRightInd w:val="0"/>
        <w:jc w:val="both"/>
        <w:rPr>
          <w:lang w:val="uk-UA"/>
        </w:rPr>
      </w:pPr>
      <w:r>
        <w:rPr>
          <w:lang w:val="uk-UA"/>
        </w:rPr>
        <w:t xml:space="preserve"> </w:t>
      </w:r>
      <w:r w:rsidRPr="00326DA0">
        <w:rPr>
          <w:lang w:val="uk-UA"/>
        </w:rPr>
        <w:t xml:space="preserve">виплату заробітної плати з нарахуваннями перераховано </w:t>
      </w:r>
      <w:r>
        <w:rPr>
          <w:lang w:val="uk-UA"/>
        </w:rPr>
        <w:t xml:space="preserve">– </w:t>
      </w:r>
      <w:r w:rsidR="006127D4">
        <w:rPr>
          <w:lang w:val="uk-UA"/>
        </w:rPr>
        <w:t>10 315,</w:t>
      </w:r>
      <w:r w:rsidR="002B33A5">
        <w:rPr>
          <w:lang w:val="uk-UA"/>
        </w:rPr>
        <w:t>5</w:t>
      </w:r>
      <w:r w:rsidRPr="00326DA0">
        <w:rPr>
          <w:lang w:val="uk-UA"/>
        </w:rPr>
        <w:t xml:space="preserve"> тис. грн</w:t>
      </w:r>
      <w:r>
        <w:rPr>
          <w:lang w:val="uk-UA"/>
        </w:rPr>
        <w:t>;</w:t>
      </w:r>
    </w:p>
    <w:p w:rsidR="00B02AF7" w:rsidRDefault="00B02AF7" w:rsidP="00B02AF7">
      <w:pPr>
        <w:numPr>
          <w:ilvl w:val="0"/>
          <w:numId w:val="5"/>
        </w:numPr>
        <w:autoSpaceDE w:val="0"/>
        <w:autoSpaceDN w:val="0"/>
        <w:adjustRightInd w:val="0"/>
        <w:jc w:val="both"/>
        <w:rPr>
          <w:lang w:val="uk-UA"/>
        </w:rPr>
      </w:pPr>
      <w:r>
        <w:rPr>
          <w:lang w:val="uk-UA"/>
        </w:rPr>
        <w:t xml:space="preserve">оплату комунальних послуг – </w:t>
      </w:r>
      <w:r w:rsidR="006127D4">
        <w:rPr>
          <w:lang w:val="uk-UA"/>
        </w:rPr>
        <w:t>509,0</w:t>
      </w:r>
      <w:r>
        <w:rPr>
          <w:lang w:val="uk-UA"/>
        </w:rPr>
        <w:t xml:space="preserve"> тис. грн;</w:t>
      </w:r>
    </w:p>
    <w:p w:rsidR="006127D4" w:rsidRDefault="006127D4" w:rsidP="006127D4">
      <w:pPr>
        <w:numPr>
          <w:ilvl w:val="0"/>
          <w:numId w:val="5"/>
        </w:numPr>
        <w:autoSpaceDE w:val="0"/>
        <w:autoSpaceDN w:val="0"/>
        <w:adjustRightInd w:val="0"/>
        <w:jc w:val="both"/>
        <w:rPr>
          <w:lang w:val="uk-UA"/>
        </w:rPr>
      </w:pPr>
      <w:r>
        <w:rPr>
          <w:lang w:val="uk-UA"/>
        </w:rPr>
        <w:t>оплату послуг</w:t>
      </w:r>
      <w:r w:rsidR="00EB5761">
        <w:rPr>
          <w:lang w:val="uk-UA"/>
        </w:rPr>
        <w:t xml:space="preserve"> </w:t>
      </w:r>
      <w:r>
        <w:rPr>
          <w:lang w:val="uk-UA"/>
        </w:rPr>
        <w:t>(крім комунальних) – 433,3 тис. грн;</w:t>
      </w:r>
    </w:p>
    <w:p w:rsidR="006127D4" w:rsidRDefault="006127D4" w:rsidP="006127D4">
      <w:pPr>
        <w:numPr>
          <w:ilvl w:val="0"/>
          <w:numId w:val="5"/>
        </w:numPr>
        <w:autoSpaceDE w:val="0"/>
        <w:autoSpaceDN w:val="0"/>
        <w:adjustRightInd w:val="0"/>
        <w:jc w:val="both"/>
        <w:rPr>
          <w:lang w:val="uk-UA"/>
        </w:rPr>
      </w:pPr>
      <w:r>
        <w:rPr>
          <w:lang w:val="uk-UA"/>
        </w:rPr>
        <w:t>предмети, обладнання та інвентар – 184,7 тис. грн;</w:t>
      </w:r>
    </w:p>
    <w:p w:rsidR="006127D4" w:rsidRDefault="006127D4" w:rsidP="006127D4">
      <w:pPr>
        <w:numPr>
          <w:ilvl w:val="0"/>
          <w:numId w:val="5"/>
        </w:numPr>
        <w:autoSpaceDE w:val="0"/>
        <w:autoSpaceDN w:val="0"/>
        <w:adjustRightInd w:val="0"/>
        <w:jc w:val="both"/>
        <w:rPr>
          <w:lang w:val="uk-UA"/>
        </w:rPr>
      </w:pPr>
      <w:r>
        <w:rPr>
          <w:lang w:val="uk-UA"/>
        </w:rPr>
        <w:t>субсидії та поточні трансферти підприємствам ( установам, організаціям) – 184,2 тис. грн;</w:t>
      </w:r>
    </w:p>
    <w:p w:rsidR="006127D4" w:rsidRPr="006127D4" w:rsidRDefault="006127D4" w:rsidP="006127D4">
      <w:pPr>
        <w:numPr>
          <w:ilvl w:val="0"/>
          <w:numId w:val="5"/>
        </w:numPr>
        <w:autoSpaceDE w:val="0"/>
        <w:autoSpaceDN w:val="0"/>
        <w:adjustRightInd w:val="0"/>
        <w:jc w:val="both"/>
        <w:rPr>
          <w:lang w:val="uk-UA"/>
        </w:rPr>
      </w:pPr>
      <w:r>
        <w:rPr>
          <w:lang w:val="uk-UA"/>
        </w:rPr>
        <w:t>інші поточні видатки – 172,4 тис. грн;</w:t>
      </w:r>
    </w:p>
    <w:p w:rsidR="006127D4" w:rsidRDefault="006127D4" w:rsidP="006127D4">
      <w:pPr>
        <w:numPr>
          <w:ilvl w:val="0"/>
          <w:numId w:val="5"/>
        </w:numPr>
        <w:autoSpaceDE w:val="0"/>
        <w:autoSpaceDN w:val="0"/>
        <w:adjustRightInd w:val="0"/>
        <w:jc w:val="both"/>
        <w:rPr>
          <w:lang w:val="uk-UA"/>
        </w:rPr>
      </w:pPr>
      <w:r>
        <w:rPr>
          <w:lang w:val="uk-UA"/>
        </w:rPr>
        <w:lastRenderedPageBreak/>
        <w:t>на придбання обладнання і предметів довгострокового користування – 76,9 тис. грн.</w:t>
      </w:r>
    </w:p>
    <w:p w:rsidR="006127D4" w:rsidRDefault="006127D4" w:rsidP="006127D4">
      <w:pPr>
        <w:autoSpaceDE w:val="0"/>
        <w:autoSpaceDN w:val="0"/>
        <w:adjustRightInd w:val="0"/>
        <w:jc w:val="both"/>
        <w:rPr>
          <w:lang w:val="uk-UA"/>
        </w:rPr>
      </w:pPr>
    </w:p>
    <w:p w:rsidR="006127D4" w:rsidRDefault="006127D4" w:rsidP="006127D4">
      <w:pPr>
        <w:autoSpaceDE w:val="0"/>
        <w:autoSpaceDN w:val="0"/>
        <w:adjustRightInd w:val="0"/>
        <w:jc w:val="both"/>
        <w:rPr>
          <w:lang w:val="uk-UA"/>
        </w:rPr>
      </w:pPr>
      <w:r>
        <w:rPr>
          <w:noProof/>
          <w:lang w:val="uk-UA" w:eastAsia="uk-UA"/>
        </w:rPr>
        <w:drawing>
          <wp:inline distT="0" distB="0" distL="0" distR="0" wp14:anchorId="2417D373" wp14:editId="6509A93A">
            <wp:extent cx="6210300" cy="4429125"/>
            <wp:effectExtent l="0" t="0" r="0" b="9525"/>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C1416" w:rsidRPr="005C1416" w:rsidRDefault="005C1416" w:rsidP="00A53936">
      <w:pPr>
        <w:autoSpaceDE w:val="0"/>
        <w:autoSpaceDN w:val="0"/>
        <w:adjustRightInd w:val="0"/>
        <w:ind w:firstLine="709"/>
        <w:jc w:val="both"/>
        <w:rPr>
          <w:sz w:val="16"/>
          <w:szCs w:val="16"/>
          <w:lang w:val="uk-UA"/>
        </w:rPr>
      </w:pPr>
    </w:p>
    <w:p w:rsidR="00A53936" w:rsidRDefault="00BF3DB5" w:rsidP="00A53936">
      <w:pPr>
        <w:autoSpaceDE w:val="0"/>
        <w:autoSpaceDN w:val="0"/>
        <w:adjustRightInd w:val="0"/>
        <w:ind w:firstLine="709"/>
        <w:jc w:val="both"/>
        <w:rPr>
          <w:lang w:val="uk-UA"/>
        </w:rPr>
      </w:pPr>
      <w:r w:rsidRPr="00DE355C">
        <w:rPr>
          <w:lang w:val="uk-UA"/>
        </w:rPr>
        <w:t xml:space="preserve">Видатки по галузі у розрізі головних розпорядників коштів розподіляються між : Бучанська міська рада – </w:t>
      </w:r>
      <w:r w:rsidR="00326642">
        <w:rPr>
          <w:lang w:val="uk-UA"/>
        </w:rPr>
        <w:t>8</w:t>
      </w:r>
      <w:r w:rsidR="001B63D9">
        <w:rPr>
          <w:lang w:val="uk-UA"/>
        </w:rPr>
        <w:t> 685,8</w:t>
      </w:r>
      <w:r w:rsidRPr="00DE355C">
        <w:rPr>
          <w:lang w:val="uk-UA"/>
        </w:rPr>
        <w:t xml:space="preserve"> тис. грн.</w:t>
      </w:r>
      <w:r w:rsidR="00135E66">
        <w:rPr>
          <w:lang w:val="uk-UA"/>
        </w:rPr>
        <w:t xml:space="preserve"> ( у т. ч. одержувач бюджетних коштів « Архівний відділ» - </w:t>
      </w:r>
      <w:r w:rsidR="001B63D9">
        <w:rPr>
          <w:lang w:val="uk-UA"/>
        </w:rPr>
        <w:t>184,2</w:t>
      </w:r>
      <w:r w:rsidR="00926F64">
        <w:rPr>
          <w:lang w:val="uk-UA"/>
        </w:rPr>
        <w:t xml:space="preserve"> тис. грн., при плані відповідного періоду – </w:t>
      </w:r>
      <w:r w:rsidR="001B63D9">
        <w:rPr>
          <w:lang w:val="uk-UA"/>
        </w:rPr>
        <w:t>297,1</w:t>
      </w:r>
      <w:r w:rsidR="00926F64">
        <w:rPr>
          <w:lang w:val="uk-UA"/>
        </w:rPr>
        <w:t xml:space="preserve"> тис. грн.)</w:t>
      </w:r>
      <w:r w:rsidRPr="00DE355C">
        <w:rPr>
          <w:lang w:val="uk-UA"/>
        </w:rPr>
        <w:t xml:space="preserve">; </w:t>
      </w:r>
      <w:r w:rsidR="00853DD2">
        <w:rPr>
          <w:lang w:val="uk-UA"/>
        </w:rPr>
        <w:t>В</w:t>
      </w:r>
      <w:r w:rsidRPr="00DE355C">
        <w:rPr>
          <w:lang w:val="uk-UA"/>
        </w:rPr>
        <w:t xml:space="preserve">ідділ освіти Бучанської міської ради – </w:t>
      </w:r>
      <w:r w:rsidR="001B63D9">
        <w:rPr>
          <w:lang w:val="uk-UA"/>
        </w:rPr>
        <w:t>382,2</w:t>
      </w:r>
      <w:r w:rsidRPr="00DE355C">
        <w:rPr>
          <w:lang w:val="uk-UA"/>
        </w:rPr>
        <w:t xml:space="preserve"> тис. грн.; Управління </w:t>
      </w:r>
      <w:r w:rsidR="001B63D9">
        <w:rPr>
          <w:lang w:val="uk-UA"/>
        </w:rPr>
        <w:t>соціальної політики</w:t>
      </w:r>
      <w:r w:rsidRPr="00DE355C">
        <w:rPr>
          <w:lang w:val="uk-UA"/>
        </w:rPr>
        <w:t xml:space="preserve">  - </w:t>
      </w:r>
      <w:r w:rsidR="001B63D9">
        <w:rPr>
          <w:lang w:val="uk-UA"/>
        </w:rPr>
        <w:t>1 852,6</w:t>
      </w:r>
      <w:r w:rsidRPr="00DE355C">
        <w:rPr>
          <w:lang w:val="uk-UA"/>
        </w:rPr>
        <w:t xml:space="preserve"> тис. грн. </w:t>
      </w:r>
      <w:r>
        <w:rPr>
          <w:lang w:val="uk-UA"/>
        </w:rPr>
        <w:t xml:space="preserve">, </w:t>
      </w:r>
      <w:r w:rsidR="00853DD2">
        <w:rPr>
          <w:lang w:val="uk-UA"/>
        </w:rPr>
        <w:t>В</w:t>
      </w:r>
      <w:r>
        <w:rPr>
          <w:lang w:val="uk-UA"/>
        </w:rPr>
        <w:t xml:space="preserve">ідділ  культури, національностей та релігії Бучанської міської ради – </w:t>
      </w:r>
      <w:r w:rsidR="001B63D9">
        <w:rPr>
          <w:lang w:val="uk-UA"/>
        </w:rPr>
        <w:t>120,0</w:t>
      </w:r>
      <w:r>
        <w:rPr>
          <w:lang w:val="uk-UA"/>
        </w:rPr>
        <w:t xml:space="preserve"> тис. грн., </w:t>
      </w:r>
      <w:r w:rsidR="00853DD2">
        <w:rPr>
          <w:lang w:val="uk-UA"/>
        </w:rPr>
        <w:t>В</w:t>
      </w:r>
      <w:r>
        <w:rPr>
          <w:lang w:val="uk-UA"/>
        </w:rPr>
        <w:t xml:space="preserve">ідділ молоді та спорту Бучанської міської ради  - </w:t>
      </w:r>
      <w:r w:rsidR="001B63D9">
        <w:rPr>
          <w:lang w:val="uk-UA"/>
        </w:rPr>
        <w:t>205,8</w:t>
      </w:r>
      <w:r>
        <w:rPr>
          <w:lang w:val="uk-UA"/>
        </w:rPr>
        <w:t xml:space="preserve"> тис. грн.</w:t>
      </w:r>
      <w:r w:rsidR="002175EF">
        <w:rPr>
          <w:lang w:val="uk-UA"/>
        </w:rPr>
        <w:t xml:space="preserve"> </w:t>
      </w:r>
      <w:r w:rsidR="001B63D9">
        <w:rPr>
          <w:lang w:val="uk-UA"/>
        </w:rPr>
        <w:t>, Фінансове управління Бучанської міської ради – 629,7 тис. грн.</w:t>
      </w:r>
    </w:p>
    <w:p w:rsidR="006E3CF2" w:rsidRPr="00A36DE5" w:rsidRDefault="006E3CF2" w:rsidP="006E3CF2">
      <w:pPr>
        <w:ind w:firstLine="709"/>
        <w:jc w:val="both"/>
        <w:rPr>
          <w:i/>
          <w:sz w:val="10"/>
          <w:szCs w:val="10"/>
          <w:u w:val="single"/>
          <w:lang w:val="uk-UA"/>
        </w:rPr>
      </w:pPr>
    </w:p>
    <w:p w:rsidR="00B9304C" w:rsidRDefault="00B9304C" w:rsidP="006E3CF2">
      <w:pPr>
        <w:ind w:firstLine="709"/>
        <w:jc w:val="both"/>
        <w:rPr>
          <w:lang w:val="uk-UA"/>
        </w:rPr>
      </w:pPr>
      <w:r w:rsidRPr="00B9304C">
        <w:rPr>
          <w:lang w:val="uk-UA"/>
        </w:rPr>
        <w:t xml:space="preserve">За </w:t>
      </w:r>
      <w:r>
        <w:rPr>
          <w:lang w:val="uk-UA"/>
        </w:rPr>
        <w:t xml:space="preserve">бюджетною програмою 0150 « 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w:t>
      </w:r>
      <w:r w:rsidR="00AE7103">
        <w:rPr>
          <w:lang w:val="uk-UA"/>
        </w:rPr>
        <w:t xml:space="preserve">при плані відповідного періоду 11 430,4 тис. грн., </w:t>
      </w:r>
      <w:r w:rsidR="007A39C4">
        <w:rPr>
          <w:lang w:val="uk-UA"/>
        </w:rPr>
        <w:t>касові видатки складають</w:t>
      </w:r>
      <w:r w:rsidR="00AE7103">
        <w:rPr>
          <w:lang w:val="uk-UA"/>
        </w:rPr>
        <w:t xml:space="preserve"> 8 424,7 тис. грн., що становить 73,7% виконання плану.</w:t>
      </w:r>
    </w:p>
    <w:p w:rsidR="00AE7103" w:rsidRDefault="00AE7103" w:rsidP="006E3CF2">
      <w:pPr>
        <w:ind w:firstLine="709"/>
        <w:jc w:val="both"/>
        <w:rPr>
          <w:lang w:val="uk-UA"/>
        </w:rPr>
      </w:pPr>
      <w:r>
        <w:rPr>
          <w:lang w:val="uk-UA"/>
        </w:rPr>
        <w:t>За бюджетною програмою 0160 « Керівництво і управління у відповідній сфері у містах ( місті Києві), селищах, селах, територіальних громадах» при плані 6 889,1 тис. грн., ви</w:t>
      </w:r>
      <w:r w:rsidR="007A39C4">
        <w:rPr>
          <w:lang w:val="uk-UA"/>
        </w:rPr>
        <w:t>датки складають</w:t>
      </w:r>
      <w:r>
        <w:rPr>
          <w:lang w:val="uk-UA"/>
        </w:rPr>
        <w:t xml:space="preserve"> 3 190,3 тис. грн., що становить 46,3% виконання плану.</w:t>
      </w:r>
    </w:p>
    <w:p w:rsidR="00AE7103" w:rsidRDefault="00AE7103" w:rsidP="006E3CF2">
      <w:pPr>
        <w:ind w:firstLine="709"/>
        <w:jc w:val="both"/>
        <w:rPr>
          <w:lang w:val="uk-UA"/>
        </w:rPr>
      </w:pPr>
      <w:r>
        <w:rPr>
          <w:lang w:val="uk-UA"/>
        </w:rPr>
        <w:t xml:space="preserve">За бюджетною програмою 0180 « Інша діяльність у сфері державного управління» при плані відповідного періоду 297,1 тис. грн. </w:t>
      </w:r>
      <w:r w:rsidR="007A39C4">
        <w:rPr>
          <w:lang w:val="uk-UA"/>
        </w:rPr>
        <w:t xml:space="preserve">касові видатки склали </w:t>
      </w:r>
      <w:r>
        <w:rPr>
          <w:lang w:val="uk-UA"/>
        </w:rPr>
        <w:t xml:space="preserve">184,2 тис. грн., </w:t>
      </w:r>
      <w:r w:rsidR="00CC245B">
        <w:rPr>
          <w:lang w:val="uk-UA"/>
        </w:rPr>
        <w:t>що становить</w:t>
      </w:r>
      <w:r>
        <w:rPr>
          <w:lang w:val="uk-UA"/>
        </w:rPr>
        <w:t xml:space="preserve">  62% </w:t>
      </w:r>
      <w:r w:rsidR="00CC245B">
        <w:rPr>
          <w:lang w:val="uk-UA"/>
        </w:rPr>
        <w:t xml:space="preserve">виконання плану </w:t>
      </w:r>
      <w:r>
        <w:rPr>
          <w:lang w:val="uk-UA"/>
        </w:rPr>
        <w:t>( одержувач « Архівний відділ»).</w:t>
      </w:r>
    </w:p>
    <w:p w:rsidR="0021514B" w:rsidRPr="0021514B" w:rsidRDefault="0021514B" w:rsidP="006E3CF2">
      <w:pPr>
        <w:ind w:firstLine="709"/>
        <w:jc w:val="both"/>
        <w:rPr>
          <w:sz w:val="16"/>
          <w:szCs w:val="16"/>
          <w:lang w:val="uk-UA"/>
        </w:rPr>
      </w:pPr>
    </w:p>
    <w:p w:rsidR="006E3CF2" w:rsidRPr="006E2748" w:rsidRDefault="006E3CF2" w:rsidP="006E3CF2">
      <w:pPr>
        <w:ind w:firstLine="709"/>
        <w:jc w:val="both"/>
        <w:rPr>
          <w:b/>
          <w:i/>
          <w:lang w:val="uk-UA"/>
        </w:rPr>
      </w:pPr>
      <w:r w:rsidRPr="006E2748">
        <w:rPr>
          <w:b/>
          <w:i/>
          <w:lang w:val="uk-UA"/>
        </w:rPr>
        <w:t xml:space="preserve">Спеціальний фонд </w:t>
      </w:r>
    </w:p>
    <w:p w:rsidR="006E3CF2" w:rsidRPr="007A7AC2" w:rsidRDefault="006E3CF2" w:rsidP="006E3CF2">
      <w:pPr>
        <w:ind w:firstLine="709"/>
        <w:jc w:val="both"/>
        <w:rPr>
          <w:lang w:val="uk-UA"/>
        </w:rPr>
      </w:pPr>
      <w:r w:rsidRPr="007A7AC2">
        <w:rPr>
          <w:lang w:val="uk-UA"/>
        </w:rPr>
        <w:t xml:space="preserve">Видатки спеціального фонду в галузі державного управління за </w:t>
      </w:r>
      <w:r w:rsidRPr="00B553B0">
        <w:rPr>
          <w:lang w:val="uk-UA"/>
        </w:rPr>
        <w:t>І квартал</w:t>
      </w:r>
      <w:r w:rsidRPr="007A7AC2">
        <w:rPr>
          <w:lang w:val="uk-UA"/>
        </w:rPr>
        <w:t xml:space="preserve"> 2021 року склали 76,9 тис. грн. при уто</w:t>
      </w:r>
      <w:r w:rsidR="00934409">
        <w:rPr>
          <w:lang w:val="uk-UA"/>
        </w:rPr>
        <w:t>чненому плані 3 018,9 тис. грн</w:t>
      </w:r>
      <w:r w:rsidRPr="007A7AC2">
        <w:rPr>
          <w:lang w:val="uk-UA"/>
        </w:rPr>
        <w:t>, що становить 3 % виконання</w:t>
      </w:r>
      <w:r w:rsidR="00934409">
        <w:rPr>
          <w:lang w:val="uk-UA"/>
        </w:rPr>
        <w:t>. Всі вказані видатки проведені за рахунок бюджету розвитку.</w:t>
      </w:r>
    </w:p>
    <w:p w:rsidR="006E3CF2" w:rsidRPr="007A7AC2" w:rsidRDefault="006E3CF2" w:rsidP="006E3CF2">
      <w:pPr>
        <w:ind w:firstLine="709"/>
        <w:jc w:val="both"/>
        <w:rPr>
          <w:lang w:val="uk-UA"/>
        </w:rPr>
      </w:pPr>
      <w:r w:rsidRPr="007A7AC2">
        <w:rPr>
          <w:lang w:val="uk-UA"/>
        </w:rPr>
        <w:t>Кошти були спрям</w:t>
      </w:r>
      <w:r w:rsidR="00917945">
        <w:rPr>
          <w:lang w:val="uk-UA"/>
        </w:rPr>
        <w:t xml:space="preserve">овані на покращення матеріально </w:t>
      </w:r>
      <w:r w:rsidRPr="007A7AC2">
        <w:rPr>
          <w:lang w:val="uk-UA"/>
        </w:rPr>
        <w:t xml:space="preserve">- технічної бази </w:t>
      </w:r>
      <w:r w:rsidR="00F96E11">
        <w:rPr>
          <w:lang w:val="uk-UA"/>
        </w:rPr>
        <w:t>в галузі «Державне управління».</w:t>
      </w:r>
    </w:p>
    <w:p w:rsidR="006E3CF2" w:rsidRPr="00913A45" w:rsidRDefault="006E3CF2" w:rsidP="00A53936">
      <w:pPr>
        <w:autoSpaceDE w:val="0"/>
        <w:autoSpaceDN w:val="0"/>
        <w:adjustRightInd w:val="0"/>
        <w:ind w:firstLine="709"/>
        <w:jc w:val="both"/>
        <w:rPr>
          <w:color w:val="FF0000"/>
          <w:sz w:val="10"/>
          <w:szCs w:val="10"/>
          <w:lang w:val="uk-UA"/>
        </w:rPr>
      </w:pPr>
    </w:p>
    <w:p w:rsidR="00DE355C" w:rsidRPr="007A7AC2" w:rsidRDefault="00A53936" w:rsidP="00A53936">
      <w:pPr>
        <w:jc w:val="both"/>
        <w:rPr>
          <w:lang w:val="uk-UA"/>
        </w:rPr>
      </w:pPr>
      <w:r w:rsidRPr="00C13CE2">
        <w:rPr>
          <w:color w:val="FF0000"/>
          <w:lang w:val="uk-UA"/>
        </w:rPr>
        <w:lastRenderedPageBreak/>
        <w:t xml:space="preserve">           </w:t>
      </w:r>
      <w:r w:rsidR="00DE355C" w:rsidRPr="007A7AC2">
        <w:rPr>
          <w:lang w:val="uk-UA"/>
        </w:rPr>
        <w:t>Штатна чисельність</w:t>
      </w:r>
      <w:r w:rsidR="00917945">
        <w:rPr>
          <w:lang w:val="uk-UA"/>
        </w:rPr>
        <w:t xml:space="preserve"> працівників</w:t>
      </w:r>
      <w:r w:rsidR="00DE355C" w:rsidRPr="007A7AC2">
        <w:rPr>
          <w:lang w:val="uk-UA"/>
        </w:rPr>
        <w:t xml:space="preserve"> органів місцевого самоврядування складає </w:t>
      </w:r>
      <w:r w:rsidR="00376A8C" w:rsidRPr="007A7AC2">
        <w:rPr>
          <w:lang w:val="uk-UA"/>
        </w:rPr>
        <w:t>2</w:t>
      </w:r>
      <w:r w:rsidR="002545F7" w:rsidRPr="007A7AC2">
        <w:rPr>
          <w:lang w:val="uk-UA"/>
        </w:rPr>
        <w:t>1</w:t>
      </w:r>
      <w:r w:rsidR="007A7AC2" w:rsidRPr="007A7AC2">
        <w:rPr>
          <w:lang w:val="uk-UA"/>
        </w:rPr>
        <w:t>2,0</w:t>
      </w:r>
      <w:r w:rsidR="00843680" w:rsidRPr="007A7AC2">
        <w:rPr>
          <w:lang w:val="uk-UA"/>
        </w:rPr>
        <w:t xml:space="preserve"> </w:t>
      </w:r>
      <w:r w:rsidR="00DE355C" w:rsidRPr="007A7AC2">
        <w:rPr>
          <w:lang w:val="uk-UA"/>
        </w:rPr>
        <w:t xml:space="preserve">одиниць, в тому </w:t>
      </w:r>
      <w:r w:rsidR="0027452C" w:rsidRPr="007A7AC2">
        <w:rPr>
          <w:lang w:val="uk-UA"/>
        </w:rPr>
        <w:t xml:space="preserve">числі: Бучанська міська рада – </w:t>
      </w:r>
      <w:r w:rsidR="00376A8C" w:rsidRPr="007A7AC2">
        <w:rPr>
          <w:lang w:val="uk-UA"/>
        </w:rPr>
        <w:t>1</w:t>
      </w:r>
      <w:r w:rsidR="007A7AC2" w:rsidRPr="007A7AC2">
        <w:rPr>
          <w:lang w:val="uk-UA"/>
        </w:rPr>
        <w:t>26</w:t>
      </w:r>
      <w:r w:rsidR="005667B4" w:rsidRPr="007A7AC2">
        <w:rPr>
          <w:lang w:val="uk-UA"/>
        </w:rPr>
        <w:t xml:space="preserve"> од.</w:t>
      </w:r>
      <w:r w:rsidR="00DE355C" w:rsidRPr="007A7AC2">
        <w:rPr>
          <w:lang w:val="uk-UA"/>
        </w:rPr>
        <w:t xml:space="preserve">; </w:t>
      </w:r>
      <w:r w:rsidR="003A0581">
        <w:rPr>
          <w:lang w:val="uk-UA"/>
        </w:rPr>
        <w:t>В</w:t>
      </w:r>
      <w:r w:rsidR="00DE355C" w:rsidRPr="007A7AC2">
        <w:rPr>
          <w:lang w:val="uk-UA"/>
        </w:rPr>
        <w:t xml:space="preserve">ідділ освіти – </w:t>
      </w:r>
      <w:r w:rsidR="002545F7" w:rsidRPr="007A7AC2">
        <w:rPr>
          <w:lang w:val="uk-UA"/>
        </w:rPr>
        <w:t>6</w:t>
      </w:r>
      <w:r w:rsidR="00DE355C" w:rsidRPr="007A7AC2">
        <w:rPr>
          <w:lang w:val="uk-UA"/>
        </w:rPr>
        <w:t xml:space="preserve"> </w:t>
      </w:r>
      <w:r w:rsidR="005667B4" w:rsidRPr="007A7AC2">
        <w:rPr>
          <w:lang w:val="uk-UA"/>
        </w:rPr>
        <w:t>од.</w:t>
      </w:r>
      <w:r w:rsidR="00DE355C" w:rsidRPr="007A7AC2">
        <w:rPr>
          <w:lang w:val="uk-UA"/>
        </w:rPr>
        <w:t xml:space="preserve">; </w:t>
      </w:r>
      <w:r w:rsidR="00C05D77">
        <w:rPr>
          <w:lang w:val="uk-UA"/>
        </w:rPr>
        <w:t>У</w:t>
      </w:r>
      <w:r w:rsidR="00DE355C" w:rsidRPr="007A7AC2">
        <w:rPr>
          <w:lang w:val="uk-UA"/>
        </w:rPr>
        <w:t xml:space="preserve">правління </w:t>
      </w:r>
      <w:r w:rsidR="007A7AC2" w:rsidRPr="007A7AC2">
        <w:rPr>
          <w:lang w:val="uk-UA"/>
        </w:rPr>
        <w:t>соціальної політики Бучанської міської ради</w:t>
      </w:r>
      <w:r w:rsidR="0027452C" w:rsidRPr="007A7AC2">
        <w:rPr>
          <w:lang w:val="uk-UA"/>
        </w:rPr>
        <w:t xml:space="preserve"> – 5</w:t>
      </w:r>
      <w:r w:rsidR="007A7AC2" w:rsidRPr="007A7AC2">
        <w:rPr>
          <w:lang w:val="uk-UA"/>
        </w:rPr>
        <w:t>7,5</w:t>
      </w:r>
      <w:r w:rsidR="0027452C" w:rsidRPr="007A7AC2">
        <w:rPr>
          <w:lang w:val="uk-UA"/>
        </w:rPr>
        <w:t xml:space="preserve"> </w:t>
      </w:r>
      <w:r w:rsidR="005667B4" w:rsidRPr="007A7AC2">
        <w:rPr>
          <w:lang w:val="uk-UA"/>
        </w:rPr>
        <w:t>од.</w:t>
      </w:r>
      <w:r w:rsidR="0027452C" w:rsidRPr="007A7AC2">
        <w:rPr>
          <w:lang w:val="uk-UA"/>
        </w:rPr>
        <w:t xml:space="preserve">, </w:t>
      </w:r>
      <w:r w:rsidR="00C05D77">
        <w:rPr>
          <w:lang w:val="uk-UA"/>
        </w:rPr>
        <w:t>В</w:t>
      </w:r>
      <w:r w:rsidR="0075397F" w:rsidRPr="007A7AC2">
        <w:rPr>
          <w:lang w:val="uk-UA"/>
        </w:rPr>
        <w:t xml:space="preserve">ідділ культури, національностей  та релігії Бучанської міської рад – </w:t>
      </w:r>
      <w:r w:rsidR="00326642" w:rsidRPr="007A7AC2">
        <w:rPr>
          <w:lang w:val="uk-UA"/>
        </w:rPr>
        <w:t>5</w:t>
      </w:r>
      <w:r w:rsidR="0075397F" w:rsidRPr="007A7AC2">
        <w:rPr>
          <w:lang w:val="uk-UA"/>
        </w:rPr>
        <w:t xml:space="preserve">,5 </w:t>
      </w:r>
      <w:r w:rsidR="005667B4" w:rsidRPr="007A7AC2">
        <w:rPr>
          <w:lang w:val="uk-UA"/>
        </w:rPr>
        <w:t>од.</w:t>
      </w:r>
      <w:r w:rsidR="0075397F" w:rsidRPr="007A7AC2">
        <w:rPr>
          <w:lang w:val="uk-UA"/>
        </w:rPr>
        <w:t xml:space="preserve">; </w:t>
      </w:r>
      <w:r w:rsidR="00C05D77">
        <w:rPr>
          <w:lang w:val="uk-UA"/>
        </w:rPr>
        <w:t>В</w:t>
      </w:r>
      <w:r w:rsidR="0027452C" w:rsidRPr="007A7AC2">
        <w:rPr>
          <w:lang w:val="uk-UA"/>
        </w:rPr>
        <w:t xml:space="preserve">ідділ молоді та спорту </w:t>
      </w:r>
      <w:r w:rsidR="0063465E" w:rsidRPr="007A7AC2">
        <w:rPr>
          <w:lang w:val="uk-UA"/>
        </w:rPr>
        <w:t>–</w:t>
      </w:r>
      <w:r w:rsidR="0027452C" w:rsidRPr="007A7AC2">
        <w:rPr>
          <w:lang w:val="uk-UA"/>
        </w:rPr>
        <w:t xml:space="preserve"> </w:t>
      </w:r>
      <w:r w:rsidR="00376A8C" w:rsidRPr="007A7AC2">
        <w:rPr>
          <w:lang w:val="uk-UA"/>
        </w:rPr>
        <w:t>3</w:t>
      </w:r>
      <w:r w:rsidR="005667B4" w:rsidRPr="007A7AC2">
        <w:rPr>
          <w:lang w:val="uk-UA"/>
        </w:rPr>
        <w:t xml:space="preserve"> од.</w:t>
      </w:r>
      <w:r w:rsidR="007A7AC2" w:rsidRPr="007A7AC2">
        <w:rPr>
          <w:lang w:val="uk-UA"/>
        </w:rPr>
        <w:t xml:space="preserve">, </w:t>
      </w:r>
      <w:r w:rsidR="00B553B0">
        <w:rPr>
          <w:lang w:val="uk-UA"/>
        </w:rPr>
        <w:t>Ф</w:t>
      </w:r>
      <w:r w:rsidR="007A7AC2" w:rsidRPr="007A7AC2">
        <w:rPr>
          <w:lang w:val="uk-UA"/>
        </w:rPr>
        <w:t xml:space="preserve">інансове управління </w:t>
      </w:r>
      <w:r w:rsidR="00B553B0">
        <w:rPr>
          <w:lang w:val="uk-UA"/>
        </w:rPr>
        <w:t xml:space="preserve">Бучанської міської ради </w:t>
      </w:r>
      <w:r w:rsidR="007A7AC2" w:rsidRPr="007A7AC2">
        <w:rPr>
          <w:lang w:val="uk-UA"/>
        </w:rPr>
        <w:t>– 14 одиниць.</w:t>
      </w:r>
    </w:p>
    <w:p w:rsidR="000258D2" w:rsidRPr="00F0126F" w:rsidRDefault="00932929" w:rsidP="000258D2">
      <w:pPr>
        <w:ind w:firstLine="709"/>
        <w:jc w:val="both"/>
        <w:rPr>
          <w:lang w:val="uk-UA"/>
        </w:rPr>
      </w:pPr>
      <w:r w:rsidRPr="00F0126F">
        <w:rPr>
          <w:lang w:val="uk-UA"/>
        </w:rPr>
        <w:t xml:space="preserve">Кредиторська заборгованість </w:t>
      </w:r>
      <w:r w:rsidR="00390511" w:rsidRPr="00F0126F">
        <w:rPr>
          <w:lang w:val="uk-UA"/>
        </w:rPr>
        <w:t xml:space="preserve">за вказаний період </w:t>
      </w:r>
      <w:r w:rsidR="00184FF0" w:rsidRPr="00F0126F">
        <w:rPr>
          <w:lang w:val="uk-UA"/>
        </w:rPr>
        <w:t xml:space="preserve">по даній галузі </w:t>
      </w:r>
      <w:r w:rsidR="00597DD7" w:rsidRPr="00F0126F">
        <w:rPr>
          <w:lang w:val="uk-UA"/>
        </w:rPr>
        <w:t>складає 895,0 тис. грн</w:t>
      </w:r>
      <w:r w:rsidR="00917945">
        <w:rPr>
          <w:lang w:val="uk-UA"/>
        </w:rPr>
        <w:t xml:space="preserve"> </w:t>
      </w:r>
      <w:r w:rsidR="00597DD7" w:rsidRPr="00F0126F">
        <w:rPr>
          <w:lang w:val="uk-UA"/>
        </w:rPr>
        <w:t xml:space="preserve">( </w:t>
      </w:r>
      <w:r w:rsidR="00917945">
        <w:rPr>
          <w:lang w:val="uk-UA"/>
        </w:rPr>
        <w:t>за</w:t>
      </w:r>
      <w:r w:rsidR="00597DD7" w:rsidRPr="00F0126F">
        <w:rPr>
          <w:lang w:val="uk-UA"/>
        </w:rPr>
        <w:t>гальний фонд – на виплату заробітної плати, термін якої не настав)</w:t>
      </w:r>
      <w:r w:rsidR="00F0126F">
        <w:rPr>
          <w:lang w:val="uk-UA"/>
        </w:rPr>
        <w:t>.</w:t>
      </w:r>
    </w:p>
    <w:p w:rsidR="00C13CE2" w:rsidRPr="000E23B1" w:rsidRDefault="00C13CE2" w:rsidP="00D008B5">
      <w:pPr>
        <w:autoSpaceDE w:val="0"/>
        <w:autoSpaceDN w:val="0"/>
        <w:adjustRightInd w:val="0"/>
        <w:ind w:firstLine="709"/>
        <w:jc w:val="center"/>
        <w:rPr>
          <w:b/>
          <w:i/>
          <w:sz w:val="20"/>
          <w:szCs w:val="20"/>
          <w:u w:val="single"/>
          <w:lang w:val="uk-UA"/>
        </w:rPr>
      </w:pPr>
    </w:p>
    <w:p w:rsidR="001F1007" w:rsidRPr="00613C96" w:rsidRDefault="001F1007" w:rsidP="00D008B5">
      <w:pPr>
        <w:autoSpaceDE w:val="0"/>
        <w:autoSpaceDN w:val="0"/>
        <w:adjustRightInd w:val="0"/>
        <w:ind w:firstLine="709"/>
        <w:jc w:val="center"/>
        <w:rPr>
          <w:b/>
          <w:i/>
          <w:sz w:val="26"/>
          <w:szCs w:val="26"/>
          <w:u w:val="single"/>
          <w:lang w:val="uk-UA"/>
        </w:rPr>
      </w:pPr>
      <w:r w:rsidRPr="00613C96">
        <w:rPr>
          <w:b/>
          <w:i/>
          <w:sz w:val="26"/>
          <w:szCs w:val="26"/>
          <w:u w:val="single"/>
          <w:lang w:val="uk-UA"/>
        </w:rPr>
        <w:t>1000 Освіта</w:t>
      </w:r>
    </w:p>
    <w:p w:rsidR="001F1007" w:rsidRPr="00C008A3" w:rsidRDefault="001F1007" w:rsidP="001F1007">
      <w:pPr>
        <w:autoSpaceDE w:val="0"/>
        <w:autoSpaceDN w:val="0"/>
        <w:adjustRightInd w:val="0"/>
        <w:ind w:firstLine="709"/>
        <w:jc w:val="center"/>
        <w:rPr>
          <w:b/>
          <w:i/>
          <w:color w:val="FF0000"/>
          <w:sz w:val="16"/>
          <w:szCs w:val="16"/>
          <w:u w:val="single"/>
          <w:lang w:val="uk-UA"/>
        </w:rPr>
      </w:pPr>
    </w:p>
    <w:p w:rsidR="00A34082" w:rsidRDefault="00A34082" w:rsidP="00A34082">
      <w:pPr>
        <w:ind w:firstLine="709"/>
        <w:jc w:val="both"/>
        <w:rPr>
          <w:lang w:val="uk-UA"/>
        </w:rPr>
      </w:pPr>
      <w:r w:rsidRPr="00DE355C">
        <w:rPr>
          <w:lang w:val="uk-UA"/>
        </w:rPr>
        <w:t>Протягом</w:t>
      </w:r>
      <w:r>
        <w:rPr>
          <w:lang w:val="uk-UA"/>
        </w:rPr>
        <w:t xml:space="preserve"> </w:t>
      </w:r>
      <w:r>
        <w:rPr>
          <w:lang w:val="en-US"/>
        </w:rPr>
        <w:t>I</w:t>
      </w:r>
      <w:r w:rsidRPr="00E322BD">
        <w:t xml:space="preserve"> </w:t>
      </w:r>
      <w:r>
        <w:rPr>
          <w:lang w:val="uk-UA"/>
        </w:rPr>
        <w:t>кварталу</w:t>
      </w:r>
      <w:r w:rsidRPr="00DE355C">
        <w:rPr>
          <w:lang w:val="uk-UA"/>
        </w:rPr>
        <w:t xml:space="preserve"> </w:t>
      </w:r>
      <w:r>
        <w:rPr>
          <w:lang w:val="uk-UA"/>
        </w:rPr>
        <w:t>2</w:t>
      </w:r>
      <w:r w:rsidRPr="00DE355C">
        <w:rPr>
          <w:lang w:val="uk-UA"/>
        </w:rPr>
        <w:t>0</w:t>
      </w:r>
      <w:r>
        <w:rPr>
          <w:lang w:val="uk-UA"/>
        </w:rPr>
        <w:t>21</w:t>
      </w:r>
      <w:r w:rsidRPr="00DE355C">
        <w:rPr>
          <w:lang w:val="uk-UA"/>
        </w:rPr>
        <w:t xml:space="preserve"> року за </w:t>
      </w:r>
      <w:r>
        <w:rPr>
          <w:lang w:val="uk-UA"/>
        </w:rPr>
        <w:t>галуззю</w:t>
      </w:r>
      <w:r w:rsidRPr="00DE355C">
        <w:rPr>
          <w:lang w:val="uk-UA"/>
        </w:rPr>
        <w:t xml:space="preserve"> « Освіта» здійснено видатки для створення належних умов функціонування закладів і установ освіти, що забезпечують надання гарантованих державою освітніх послуг населенню, в обсязі </w:t>
      </w:r>
      <w:r>
        <w:rPr>
          <w:lang w:val="uk-UA"/>
        </w:rPr>
        <w:t>76 353,6</w:t>
      </w:r>
      <w:r w:rsidRPr="00DE355C">
        <w:rPr>
          <w:lang w:val="uk-UA"/>
        </w:rPr>
        <w:t xml:space="preserve"> тис. грн., у тому числі:</w:t>
      </w:r>
    </w:p>
    <w:p w:rsidR="00A34082" w:rsidRPr="00733689" w:rsidRDefault="00A34082" w:rsidP="00A34082">
      <w:pPr>
        <w:numPr>
          <w:ilvl w:val="0"/>
          <w:numId w:val="4"/>
        </w:numPr>
        <w:ind w:left="0" w:firstLine="567"/>
        <w:jc w:val="both"/>
        <w:rPr>
          <w:lang w:val="uk-UA"/>
        </w:rPr>
      </w:pPr>
      <w:r w:rsidRPr="00733689">
        <w:rPr>
          <w:lang w:val="uk-UA"/>
        </w:rPr>
        <w:t xml:space="preserve">за рахунок освітньої субвенції з державного бюджету –   31 971,0 тис. грн.; </w:t>
      </w:r>
    </w:p>
    <w:p w:rsidR="00A34082" w:rsidRPr="00733689" w:rsidRDefault="00A34082" w:rsidP="00A34082">
      <w:pPr>
        <w:numPr>
          <w:ilvl w:val="0"/>
          <w:numId w:val="4"/>
        </w:numPr>
        <w:ind w:left="0" w:firstLine="567"/>
        <w:jc w:val="both"/>
        <w:rPr>
          <w:lang w:val="uk-UA"/>
        </w:rPr>
      </w:pPr>
      <w:r w:rsidRPr="00733689">
        <w:rPr>
          <w:lang w:val="uk-UA"/>
        </w:rPr>
        <w:t>за рахунок коштів місцевого бюджету – 43 789,1</w:t>
      </w:r>
      <w:r w:rsidRPr="00733689">
        <w:rPr>
          <w:color w:val="FF0000"/>
          <w:lang w:val="uk-UA"/>
        </w:rPr>
        <w:t xml:space="preserve"> </w:t>
      </w:r>
      <w:r w:rsidRPr="00733689">
        <w:rPr>
          <w:lang w:val="uk-UA"/>
        </w:rPr>
        <w:t>тис. грн.( у т. ч. за рахунок додаткової дотації – 1 046,6 тис. грн.).</w:t>
      </w:r>
    </w:p>
    <w:p w:rsidR="00A34082" w:rsidRDefault="00A34082" w:rsidP="00A34082">
      <w:pPr>
        <w:numPr>
          <w:ilvl w:val="0"/>
          <w:numId w:val="4"/>
        </w:numPr>
        <w:ind w:left="0" w:firstLine="567"/>
        <w:jc w:val="both"/>
        <w:rPr>
          <w:lang w:val="uk-UA"/>
        </w:rPr>
      </w:pPr>
      <w:r w:rsidRPr="00733689">
        <w:rPr>
          <w:lang w:val="uk-UA"/>
        </w:rPr>
        <w:t>за рахунок субвенції з місцевого бюджету на здійснення переданих видатків у сфері освіти за рахунок коштів освітньої субвенції ( інклюзивно-ресурсні центри, приватні школи) -  441,6 тис. грн.;</w:t>
      </w:r>
    </w:p>
    <w:p w:rsidR="000E23B1" w:rsidRPr="00733689" w:rsidRDefault="000E23B1" w:rsidP="000E23B1">
      <w:pPr>
        <w:ind w:left="567"/>
        <w:jc w:val="both"/>
        <w:rPr>
          <w:lang w:val="uk-UA"/>
        </w:rPr>
      </w:pPr>
    </w:p>
    <w:p w:rsidR="00A34082" w:rsidRPr="00733689" w:rsidRDefault="002B039A" w:rsidP="002B039A">
      <w:pPr>
        <w:jc w:val="both"/>
        <w:rPr>
          <w:lang w:val="uk-UA"/>
        </w:rPr>
      </w:pPr>
      <w:r>
        <w:rPr>
          <w:noProof/>
          <w:lang w:val="uk-UA" w:eastAsia="uk-UA"/>
        </w:rPr>
        <w:drawing>
          <wp:inline distT="0" distB="0" distL="0" distR="0" wp14:anchorId="6A84167D" wp14:editId="2783426D">
            <wp:extent cx="6248400" cy="4238625"/>
            <wp:effectExtent l="0" t="0" r="38100" b="9525"/>
            <wp:docPr id="9" name="Діагра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C6970" w:rsidRDefault="000E23B1" w:rsidP="000E23B1">
      <w:pPr>
        <w:numPr>
          <w:ilvl w:val="0"/>
          <w:numId w:val="4"/>
        </w:numPr>
        <w:ind w:left="0" w:firstLine="567"/>
        <w:jc w:val="both"/>
        <w:rPr>
          <w:lang w:val="uk-UA"/>
        </w:rPr>
      </w:pPr>
      <w:r w:rsidRPr="00733689">
        <w:rPr>
          <w:lang w:val="uk-UA"/>
        </w:rPr>
        <w:t xml:space="preserve">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w:t>
      </w:r>
    </w:p>
    <w:p w:rsidR="000E23B1" w:rsidRDefault="000E23B1" w:rsidP="009C6970">
      <w:pPr>
        <w:jc w:val="both"/>
        <w:rPr>
          <w:lang w:val="uk-UA"/>
        </w:rPr>
      </w:pPr>
      <w:r w:rsidRPr="00733689">
        <w:rPr>
          <w:lang w:val="uk-UA"/>
        </w:rPr>
        <w:t>( інклюзія) – 151,9 тис. грн;</w:t>
      </w:r>
    </w:p>
    <w:p w:rsidR="003A0965" w:rsidRDefault="00A34082" w:rsidP="0057063A">
      <w:pPr>
        <w:ind w:firstLine="851"/>
        <w:jc w:val="both"/>
        <w:rPr>
          <w:lang w:val="uk-UA"/>
        </w:rPr>
      </w:pPr>
      <w:r w:rsidRPr="00733689">
        <w:rPr>
          <w:lang w:val="uk-UA"/>
        </w:rPr>
        <w:t>По галузі «Освіта» виконання плану по загальному фонду складає 82,8%   (уточнений план 89 674,0 тис.</w:t>
      </w:r>
      <w:r w:rsidR="00E9535E">
        <w:rPr>
          <w:lang w:val="uk-UA"/>
        </w:rPr>
        <w:t xml:space="preserve"> </w:t>
      </w:r>
      <w:r w:rsidRPr="00733689">
        <w:rPr>
          <w:lang w:val="uk-UA"/>
        </w:rPr>
        <w:t>грн, касові видатки 74 265,9 тис.</w:t>
      </w:r>
      <w:r w:rsidR="00E9535E">
        <w:rPr>
          <w:lang w:val="uk-UA"/>
        </w:rPr>
        <w:t xml:space="preserve"> </w:t>
      </w:r>
      <w:r w:rsidRPr="00733689">
        <w:rPr>
          <w:lang w:val="uk-UA"/>
        </w:rPr>
        <w:t>грн), по спеціальному фонду 16,6%     (уточнений план 12 587,8 тис.</w:t>
      </w:r>
      <w:r w:rsidR="00E9535E">
        <w:rPr>
          <w:lang w:val="uk-UA"/>
        </w:rPr>
        <w:t xml:space="preserve"> </w:t>
      </w:r>
      <w:r w:rsidRPr="00733689">
        <w:rPr>
          <w:lang w:val="uk-UA"/>
        </w:rPr>
        <w:t>грн, касові видатки 2 087,7 тис.</w:t>
      </w:r>
      <w:r w:rsidR="00E9535E">
        <w:rPr>
          <w:lang w:val="uk-UA"/>
        </w:rPr>
        <w:t xml:space="preserve"> </w:t>
      </w:r>
      <w:r w:rsidRPr="00733689">
        <w:rPr>
          <w:lang w:val="uk-UA"/>
        </w:rPr>
        <w:t>грн.).</w:t>
      </w:r>
      <w:r w:rsidR="0057063A" w:rsidRPr="0057063A">
        <w:rPr>
          <w:lang w:val="uk-UA"/>
        </w:rPr>
        <w:t xml:space="preserve"> </w:t>
      </w:r>
      <w:r w:rsidR="0057063A" w:rsidRPr="009A12E0">
        <w:rPr>
          <w:lang w:val="uk-UA"/>
        </w:rPr>
        <w:t xml:space="preserve">Відповідно до минулого періоду 2020 року видатки загального фонду збільшені на </w:t>
      </w:r>
      <w:r w:rsidR="005A0D91">
        <w:rPr>
          <w:lang w:val="uk-UA"/>
        </w:rPr>
        <w:t>26 873,1</w:t>
      </w:r>
      <w:r w:rsidR="0057063A" w:rsidRPr="009A12E0">
        <w:rPr>
          <w:lang w:val="uk-UA"/>
        </w:rPr>
        <w:t xml:space="preserve"> тис. грн., або на </w:t>
      </w:r>
      <w:r w:rsidR="005A0D91">
        <w:rPr>
          <w:lang w:val="uk-UA"/>
        </w:rPr>
        <w:t>56,7</w:t>
      </w:r>
      <w:r w:rsidR="0057063A" w:rsidRPr="009A12E0">
        <w:rPr>
          <w:lang w:val="uk-UA"/>
        </w:rPr>
        <w:t xml:space="preserve"> %. </w:t>
      </w:r>
      <w:r w:rsidR="001023C0">
        <w:rPr>
          <w:lang w:val="uk-UA"/>
        </w:rPr>
        <w:t>Збільшення видаткової частини зумовлено фінансуванням збільшеної мережі закладів установ та штатної чисельності працівників, у зв</w:t>
      </w:r>
      <w:r w:rsidR="001023C0">
        <w:rPr>
          <w:rFonts w:ascii="Calibri" w:hAnsi="Calibri" w:cs="Calibri"/>
          <w:lang w:val="uk-UA"/>
        </w:rPr>
        <w:t>'</w:t>
      </w:r>
      <w:r w:rsidR="001023C0">
        <w:rPr>
          <w:lang w:val="uk-UA"/>
        </w:rPr>
        <w:t>язку з закінченням формування Бучанської міської територіальної громади у складів 14 населених пунктів.</w:t>
      </w:r>
      <w:r w:rsidR="00865168">
        <w:rPr>
          <w:lang w:val="uk-UA"/>
        </w:rPr>
        <w:t xml:space="preserve"> </w:t>
      </w:r>
      <w:r w:rsidR="0057063A" w:rsidRPr="001852EF">
        <w:rPr>
          <w:lang w:val="uk-UA"/>
        </w:rPr>
        <w:t xml:space="preserve">Видатки спеціального фонду зменшені на </w:t>
      </w:r>
      <w:r w:rsidR="00865168">
        <w:rPr>
          <w:lang w:val="uk-UA"/>
        </w:rPr>
        <w:t xml:space="preserve">3 089,1 </w:t>
      </w:r>
      <w:r w:rsidR="0057063A" w:rsidRPr="001852EF">
        <w:rPr>
          <w:lang w:val="uk-UA"/>
        </w:rPr>
        <w:t xml:space="preserve">тис. грн, або на </w:t>
      </w:r>
      <w:r w:rsidR="00865168">
        <w:rPr>
          <w:lang w:val="uk-UA"/>
        </w:rPr>
        <w:t>59,7</w:t>
      </w:r>
      <w:r w:rsidR="0057063A" w:rsidRPr="001852EF">
        <w:rPr>
          <w:lang w:val="uk-UA"/>
        </w:rPr>
        <w:t xml:space="preserve"> %. </w:t>
      </w:r>
    </w:p>
    <w:p w:rsidR="009B67CA" w:rsidRDefault="009B67CA" w:rsidP="009B67CA">
      <w:pPr>
        <w:jc w:val="both"/>
        <w:rPr>
          <w:lang w:val="uk-UA"/>
        </w:rPr>
      </w:pPr>
      <w:r>
        <w:rPr>
          <w:noProof/>
          <w:lang w:val="uk-UA" w:eastAsia="uk-UA"/>
        </w:rPr>
        <w:lastRenderedPageBreak/>
        <w:drawing>
          <wp:inline distT="0" distB="0" distL="0" distR="0" wp14:anchorId="3593882E" wp14:editId="54F912CC">
            <wp:extent cx="6229350" cy="5381625"/>
            <wp:effectExtent l="0" t="0" r="0" b="9525"/>
            <wp:docPr id="6" name="Діагра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A3834" w:rsidRPr="007A3834" w:rsidRDefault="007A3834" w:rsidP="005B6258">
      <w:pPr>
        <w:ind w:firstLine="709"/>
        <w:jc w:val="both"/>
        <w:rPr>
          <w:sz w:val="16"/>
          <w:szCs w:val="16"/>
          <w:lang w:val="uk-UA"/>
        </w:rPr>
      </w:pPr>
    </w:p>
    <w:p w:rsidR="005B6258" w:rsidRPr="00733689" w:rsidRDefault="005B6258" w:rsidP="005B6258">
      <w:pPr>
        <w:ind w:firstLine="709"/>
        <w:jc w:val="both"/>
        <w:rPr>
          <w:lang w:val="uk-UA"/>
        </w:rPr>
      </w:pPr>
      <w:r w:rsidRPr="00733689">
        <w:rPr>
          <w:lang w:val="uk-UA"/>
        </w:rPr>
        <w:t>У розрізі економічної класифікації по даній  галузі видатки були спрямовані на:</w:t>
      </w:r>
    </w:p>
    <w:p w:rsidR="005B6258" w:rsidRPr="00733689" w:rsidRDefault="005B6258" w:rsidP="005B6258">
      <w:pPr>
        <w:pStyle w:val="af6"/>
        <w:numPr>
          <w:ilvl w:val="0"/>
          <w:numId w:val="4"/>
        </w:numPr>
        <w:jc w:val="both"/>
        <w:rPr>
          <w:rFonts w:ascii="Times New Roman" w:hAnsi="Times New Roman"/>
        </w:rPr>
      </w:pPr>
      <w:r w:rsidRPr="00733689">
        <w:rPr>
          <w:rFonts w:ascii="Times New Roman" w:hAnsi="Times New Roman"/>
        </w:rPr>
        <w:t>заробітну плату з нарахуваннями на неї – 66 889,8 тис.</w:t>
      </w:r>
      <w:r w:rsidR="003A0965">
        <w:rPr>
          <w:rFonts w:ascii="Times New Roman" w:hAnsi="Times New Roman"/>
        </w:rPr>
        <w:t xml:space="preserve"> </w:t>
      </w:r>
      <w:r w:rsidRPr="00733689">
        <w:rPr>
          <w:rFonts w:ascii="Times New Roman" w:hAnsi="Times New Roman"/>
        </w:rPr>
        <w:t>грн,</w:t>
      </w:r>
    </w:p>
    <w:p w:rsidR="005B6258" w:rsidRPr="00733689" w:rsidRDefault="005B6258" w:rsidP="005B6258">
      <w:pPr>
        <w:pStyle w:val="af6"/>
        <w:numPr>
          <w:ilvl w:val="0"/>
          <w:numId w:val="4"/>
        </w:numPr>
        <w:jc w:val="both"/>
        <w:rPr>
          <w:rFonts w:ascii="Times New Roman" w:hAnsi="Times New Roman"/>
        </w:rPr>
      </w:pPr>
      <w:r w:rsidRPr="00733689">
        <w:rPr>
          <w:rFonts w:ascii="Times New Roman" w:hAnsi="Times New Roman"/>
        </w:rPr>
        <w:t>оплата комунальних послуг та енергоносіїв – 4835,2 тис.</w:t>
      </w:r>
      <w:r w:rsidR="00A06BE1">
        <w:rPr>
          <w:rFonts w:ascii="Times New Roman" w:hAnsi="Times New Roman"/>
        </w:rPr>
        <w:t xml:space="preserve"> </w:t>
      </w:r>
      <w:r w:rsidRPr="00733689">
        <w:rPr>
          <w:rFonts w:ascii="Times New Roman" w:hAnsi="Times New Roman"/>
        </w:rPr>
        <w:t>грн,</w:t>
      </w:r>
    </w:p>
    <w:p w:rsidR="005B6258" w:rsidRPr="00733689" w:rsidRDefault="005B6258" w:rsidP="005B6258">
      <w:pPr>
        <w:pStyle w:val="af6"/>
        <w:numPr>
          <w:ilvl w:val="0"/>
          <w:numId w:val="4"/>
        </w:numPr>
        <w:jc w:val="both"/>
        <w:rPr>
          <w:rFonts w:ascii="Times New Roman" w:hAnsi="Times New Roman"/>
        </w:rPr>
      </w:pPr>
      <w:r w:rsidRPr="00733689">
        <w:rPr>
          <w:rFonts w:ascii="Times New Roman" w:hAnsi="Times New Roman"/>
        </w:rPr>
        <w:t>субсидії та поточні трансферти підприємствам (установам, організаціям) – 125,0 тис.</w:t>
      </w:r>
      <w:r w:rsidR="003A0965">
        <w:rPr>
          <w:rFonts w:ascii="Times New Roman" w:hAnsi="Times New Roman"/>
        </w:rPr>
        <w:t xml:space="preserve"> </w:t>
      </w:r>
      <w:r w:rsidRPr="00733689">
        <w:rPr>
          <w:rFonts w:ascii="Times New Roman" w:hAnsi="Times New Roman"/>
        </w:rPr>
        <w:t>грн,</w:t>
      </w:r>
    </w:p>
    <w:p w:rsidR="005B6258" w:rsidRPr="00733689" w:rsidRDefault="005B6258" w:rsidP="005B6258">
      <w:pPr>
        <w:pStyle w:val="af6"/>
        <w:numPr>
          <w:ilvl w:val="0"/>
          <w:numId w:val="4"/>
        </w:numPr>
        <w:jc w:val="both"/>
        <w:rPr>
          <w:rFonts w:ascii="Times New Roman" w:hAnsi="Times New Roman"/>
        </w:rPr>
      </w:pPr>
      <w:r w:rsidRPr="00733689">
        <w:rPr>
          <w:rFonts w:ascii="Times New Roman" w:hAnsi="Times New Roman"/>
        </w:rPr>
        <w:t>продукти харчування та медикаменти – 2 939,4 тис.</w:t>
      </w:r>
      <w:r w:rsidR="003A0965">
        <w:rPr>
          <w:rFonts w:ascii="Times New Roman" w:hAnsi="Times New Roman"/>
        </w:rPr>
        <w:t xml:space="preserve"> </w:t>
      </w:r>
      <w:r w:rsidRPr="00733689">
        <w:rPr>
          <w:rFonts w:ascii="Times New Roman" w:hAnsi="Times New Roman"/>
        </w:rPr>
        <w:t>грн,</w:t>
      </w:r>
    </w:p>
    <w:p w:rsidR="005B6258" w:rsidRPr="00733689" w:rsidRDefault="005B6258" w:rsidP="005B6258">
      <w:pPr>
        <w:pStyle w:val="af6"/>
        <w:numPr>
          <w:ilvl w:val="0"/>
          <w:numId w:val="4"/>
        </w:numPr>
        <w:jc w:val="both"/>
        <w:rPr>
          <w:rFonts w:ascii="Times New Roman" w:hAnsi="Times New Roman"/>
        </w:rPr>
      </w:pPr>
      <w:r w:rsidRPr="00733689">
        <w:rPr>
          <w:rFonts w:ascii="Times New Roman" w:hAnsi="Times New Roman"/>
        </w:rPr>
        <w:t>окремі заходи по реалізації державних (регіональних) програм, не віднесені до заходів розвитку – 30,2 тис.</w:t>
      </w:r>
      <w:r w:rsidR="003A0965">
        <w:rPr>
          <w:rFonts w:ascii="Times New Roman" w:hAnsi="Times New Roman"/>
        </w:rPr>
        <w:t xml:space="preserve"> </w:t>
      </w:r>
      <w:r w:rsidRPr="00733689">
        <w:rPr>
          <w:rFonts w:ascii="Times New Roman" w:hAnsi="Times New Roman"/>
        </w:rPr>
        <w:t>грн</w:t>
      </w:r>
    </w:p>
    <w:p w:rsidR="005B6258" w:rsidRPr="00733689" w:rsidRDefault="005B6258" w:rsidP="005B6258">
      <w:pPr>
        <w:pStyle w:val="af6"/>
        <w:numPr>
          <w:ilvl w:val="0"/>
          <w:numId w:val="4"/>
        </w:numPr>
        <w:jc w:val="both"/>
        <w:rPr>
          <w:rFonts w:ascii="Times New Roman" w:hAnsi="Times New Roman"/>
        </w:rPr>
      </w:pPr>
      <w:r w:rsidRPr="00733689">
        <w:rPr>
          <w:rFonts w:ascii="Times New Roman" w:hAnsi="Times New Roman"/>
        </w:rPr>
        <w:t>оплата послуг ( крім комунальних) та відрядження – 549,9 тис.</w:t>
      </w:r>
      <w:r w:rsidR="003A0965">
        <w:rPr>
          <w:rFonts w:ascii="Times New Roman" w:hAnsi="Times New Roman"/>
        </w:rPr>
        <w:t xml:space="preserve"> </w:t>
      </w:r>
      <w:r w:rsidRPr="00733689">
        <w:rPr>
          <w:rFonts w:ascii="Times New Roman" w:hAnsi="Times New Roman"/>
        </w:rPr>
        <w:t>грн,</w:t>
      </w:r>
    </w:p>
    <w:p w:rsidR="005B6258" w:rsidRPr="00733689" w:rsidRDefault="005B6258" w:rsidP="005B6258">
      <w:pPr>
        <w:pStyle w:val="af6"/>
        <w:numPr>
          <w:ilvl w:val="0"/>
          <w:numId w:val="4"/>
        </w:numPr>
        <w:jc w:val="both"/>
        <w:rPr>
          <w:rFonts w:ascii="Times New Roman" w:hAnsi="Times New Roman"/>
        </w:rPr>
      </w:pPr>
      <w:r w:rsidRPr="00733689">
        <w:rPr>
          <w:rFonts w:ascii="Times New Roman" w:hAnsi="Times New Roman"/>
        </w:rPr>
        <w:t>предмети, обладнання та інвентар – 941,7 тис</w:t>
      </w:r>
      <w:r w:rsidR="003A0965">
        <w:rPr>
          <w:rFonts w:ascii="Times New Roman" w:hAnsi="Times New Roman"/>
        </w:rPr>
        <w:t xml:space="preserve"> </w:t>
      </w:r>
      <w:r w:rsidRPr="00733689">
        <w:rPr>
          <w:rFonts w:ascii="Times New Roman" w:hAnsi="Times New Roman"/>
        </w:rPr>
        <w:t>.грн,</w:t>
      </w:r>
    </w:p>
    <w:p w:rsidR="005B6258" w:rsidRPr="00733689" w:rsidRDefault="005B6258" w:rsidP="005B6258">
      <w:pPr>
        <w:pStyle w:val="af6"/>
        <w:numPr>
          <w:ilvl w:val="0"/>
          <w:numId w:val="4"/>
        </w:numPr>
        <w:jc w:val="both"/>
        <w:rPr>
          <w:rFonts w:ascii="Times New Roman" w:hAnsi="Times New Roman"/>
        </w:rPr>
      </w:pPr>
      <w:r w:rsidRPr="00733689">
        <w:rPr>
          <w:rFonts w:ascii="Times New Roman" w:hAnsi="Times New Roman"/>
        </w:rPr>
        <w:t>інші поточні видатки – 5,8 тис.</w:t>
      </w:r>
      <w:r w:rsidR="003A0965">
        <w:rPr>
          <w:rFonts w:ascii="Times New Roman" w:hAnsi="Times New Roman"/>
        </w:rPr>
        <w:t xml:space="preserve"> </w:t>
      </w:r>
      <w:r w:rsidRPr="00733689">
        <w:rPr>
          <w:rFonts w:ascii="Times New Roman" w:hAnsi="Times New Roman"/>
        </w:rPr>
        <w:t>грн,</w:t>
      </w:r>
    </w:p>
    <w:p w:rsidR="005B6258" w:rsidRPr="00324862" w:rsidRDefault="005B6258" w:rsidP="005B6258">
      <w:pPr>
        <w:pStyle w:val="af6"/>
        <w:numPr>
          <w:ilvl w:val="0"/>
          <w:numId w:val="4"/>
        </w:numPr>
        <w:jc w:val="both"/>
      </w:pPr>
      <w:r w:rsidRPr="00733689">
        <w:rPr>
          <w:rFonts w:ascii="Times New Roman" w:hAnsi="Times New Roman"/>
        </w:rPr>
        <w:t>придбання обладнання і предметів довгострокового користування – 36,6 тис.</w:t>
      </w:r>
      <w:r w:rsidR="003A0965">
        <w:rPr>
          <w:rFonts w:ascii="Times New Roman" w:hAnsi="Times New Roman"/>
        </w:rPr>
        <w:t xml:space="preserve"> </w:t>
      </w:r>
      <w:r w:rsidRPr="00733689">
        <w:rPr>
          <w:rFonts w:ascii="Times New Roman" w:hAnsi="Times New Roman"/>
        </w:rPr>
        <w:t>грн.</w:t>
      </w:r>
    </w:p>
    <w:p w:rsidR="00A34082" w:rsidRPr="00733689" w:rsidRDefault="00A34082" w:rsidP="00A34082">
      <w:pPr>
        <w:ind w:firstLine="709"/>
        <w:jc w:val="both"/>
        <w:rPr>
          <w:lang w:val="uk-UA"/>
        </w:rPr>
      </w:pPr>
      <w:r w:rsidRPr="00733689">
        <w:rPr>
          <w:lang w:val="uk-UA"/>
        </w:rPr>
        <w:t>По головних розпорядниках бюджетних коштів видатки розмежовані наступним чином:</w:t>
      </w:r>
    </w:p>
    <w:p w:rsidR="00A34082" w:rsidRPr="00733689" w:rsidRDefault="00A34082" w:rsidP="00A34082">
      <w:pPr>
        <w:numPr>
          <w:ilvl w:val="0"/>
          <w:numId w:val="38"/>
        </w:numPr>
        <w:jc w:val="both"/>
        <w:rPr>
          <w:lang w:val="uk-UA"/>
        </w:rPr>
      </w:pPr>
      <w:r w:rsidRPr="00733689">
        <w:rPr>
          <w:lang w:val="uk-UA"/>
        </w:rPr>
        <w:t>Відділ освіти Бучанської міської ради – 74 084,4 тис. грн.;</w:t>
      </w:r>
    </w:p>
    <w:p w:rsidR="00A34082" w:rsidRPr="00733689" w:rsidRDefault="00A34082" w:rsidP="00A34082">
      <w:pPr>
        <w:numPr>
          <w:ilvl w:val="0"/>
          <w:numId w:val="38"/>
        </w:numPr>
        <w:jc w:val="both"/>
        <w:rPr>
          <w:lang w:val="uk-UA"/>
        </w:rPr>
      </w:pPr>
      <w:r w:rsidRPr="00733689">
        <w:rPr>
          <w:lang w:val="uk-UA"/>
        </w:rPr>
        <w:t>Відділ культури, національностей та релігій Бучанської міської ради -2 269,2 тис. грн.</w:t>
      </w:r>
    </w:p>
    <w:p w:rsidR="00A34082" w:rsidRPr="00733689" w:rsidRDefault="00A34082" w:rsidP="00A34082">
      <w:pPr>
        <w:tabs>
          <w:tab w:val="left" w:pos="769"/>
          <w:tab w:val="left" w:pos="1620"/>
        </w:tabs>
        <w:ind w:firstLine="567"/>
        <w:jc w:val="both"/>
        <w:rPr>
          <w:lang w:val="uk-UA"/>
        </w:rPr>
      </w:pPr>
      <w:r w:rsidRPr="00733689">
        <w:rPr>
          <w:lang w:val="uk-UA"/>
        </w:rPr>
        <w:t>За рахунок вищевказаних коштів утримувалися:</w:t>
      </w:r>
    </w:p>
    <w:p w:rsidR="00A34082" w:rsidRPr="00733689" w:rsidRDefault="00A34082" w:rsidP="00A34082">
      <w:pPr>
        <w:tabs>
          <w:tab w:val="left" w:pos="769"/>
          <w:tab w:val="left" w:pos="1620"/>
        </w:tabs>
        <w:ind w:firstLine="567"/>
        <w:jc w:val="both"/>
        <w:rPr>
          <w:lang w:val="uk-UA"/>
        </w:rPr>
      </w:pPr>
      <w:r w:rsidRPr="00733689">
        <w:rPr>
          <w:lang w:val="uk-UA"/>
        </w:rPr>
        <w:t xml:space="preserve"> -   </w:t>
      </w:r>
      <w:r w:rsidRPr="00733689">
        <w:rPr>
          <w:b/>
          <w:lang w:val="uk-UA"/>
        </w:rPr>
        <w:t xml:space="preserve">14 закладів дошкільної освіти комбінованого типу, а саме: </w:t>
      </w:r>
      <w:r w:rsidRPr="00733689">
        <w:rPr>
          <w:lang w:val="uk-UA"/>
        </w:rPr>
        <w:t xml:space="preserve">ДНЗ (ясла-садок) комбінованого типу № 1 «Сонячний», ДНЗ (ясла-садок) комбінованого типу № 2 «Горобинка», ДНЗ (ясла-садок) комбінованого типу № 3 «Козачок», ДНЗ (ясла-садок) комбінованого типу № 4 «Пролісок», ДНЗ (ясла-садок) комбінованого типу № 5 «Капітошка», ДНЗ (ясла-садок) комбінованого типу № 6 «Яблунька», ДНЗ (ясла-садок) № 7 «Перлинка», КЗ «Блиставицький ЗДО комбінованого типу № 8 «Золота рибка», КЗ «Луб’янський ЗДО </w:t>
      </w:r>
      <w:r w:rsidRPr="00733689">
        <w:rPr>
          <w:lang w:val="uk-UA"/>
        </w:rPr>
        <w:lastRenderedPageBreak/>
        <w:t>комбінованого типу № 9 «Волошка», КЗ «Гаврилівський ЗДО № 10 «Веселка», Бабинецький ДНЗ (ясла-садок) № 8 «Світлячок», Ірпінський ДНЗ (ясла-садок) № 9 «Ластівка», Ірпінський ДНЗ (ясла-садок) № 11 «Берізка», Мироцький ДНЗ «Лелеченя»,  в яких виховується 2394 дітей. В закладах функціонує 114 груп, з них: 18 логопедичних (219 дітей), 2 офтальмологічні  (16 дітей), 21 інклюзивних (відвідує 43 дітей), 10 груп з режимом короткотривалого перебування дітей.</w:t>
      </w:r>
    </w:p>
    <w:p w:rsidR="00A34082" w:rsidRPr="00733689" w:rsidRDefault="00A34082" w:rsidP="00A34082">
      <w:pPr>
        <w:pStyle w:val="af6"/>
        <w:numPr>
          <w:ilvl w:val="0"/>
          <w:numId w:val="38"/>
        </w:numPr>
        <w:tabs>
          <w:tab w:val="left" w:pos="1260"/>
          <w:tab w:val="left" w:pos="1620"/>
        </w:tabs>
        <w:spacing w:after="0" w:line="240" w:lineRule="auto"/>
        <w:jc w:val="both"/>
        <w:rPr>
          <w:rFonts w:ascii="Times New Roman" w:hAnsi="Times New Roman"/>
          <w:sz w:val="24"/>
          <w:szCs w:val="24"/>
        </w:rPr>
      </w:pPr>
      <w:r w:rsidRPr="00733689">
        <w:rPr>
          <w:rFonts w:ascii="Times New Roman" w:hAnsi="Times New Roman"/>
          <w:b/>
          <w:sz w:val="24"/>
          <w:szCs w:val="24"/>
        </w:rPr>
        <w:t>17 закладів загальної середньої освіти</w:t>
      </w:r>
      <w:r w:rsidRPr="00733689">
        <w:rPr>
          <w:rFonts w:ascii="Times New Roman" w:hAnsi="Times New Roman"/>
          <w:sz w:val="24"/>
          <w:szCs w:val="24"/>
        </w:rPr>
        <w:t xml:space="preserve">, </w:t>
      </w:r>
      <w:r w:rsidRPr="00733689">
        <w:rPr>
          <w:rFonts w:ascii="Times New Roman" w:hAnsi="Times New Roman"/>
          <w:b/>
          <w:sz w:val="24"/>
          <w:szCs w:val="24"/>
        </w:rPr>
        <w:t>а саме:</w:t>
      </w:r>
    </w:p>
    <w:p w:rsidR="00A34082" w:rsidRPr="00733689" w:rsidRDefault="00A34082" w:rsidP="00A34082">
      <w:pPr>
        <w:tabs>
          <w:tab w:val="left" w:pos="567"/>
          <w:tab w:val="left" w:pos="1620"/>
        </w:tabs>
        <w:jc w:val="both"/>
        <w:rPr>
          <w:lang w:val="uk-UA"/>
        </w:rPr>
      </w:pPr>
      <w:r w:rsidRPr="00733689">
        <w:rPr>
          <w:lang w:val="uk-UA"/>
        </w:rPr>
        <w:tab/>
        <w:t>Бучанська загальноосвітня школа І-ІІІ ступенів № 1 Бучанської міської ради Київської області;</w:t>
      </w:r>
    </w:p>
    <w:p w:rsidR="00A34082" w:rsidRPr="00733689" w:rsidRDefault="00A34082" w:rsidP="00A34082">
      <w:pPr>
        <w:tabs>
          <w:tab w:val="left" w:pos="1260"/>
          <w:tab w:val="left" w:pos="1620"/>
        </w:tabs>
        <w:ind w:firstLine="567"/>
        <w:jc w:val="both"/>
        <w:rPr>
          <w:lang w:val="uk-UA"/>
        </w:rPr>
      </w:pPr>
      <w:r w:rsidRPr="00733689">
        <w:rPr>
          <w:lang w:val="uk-UA"/>
        </w:rPr>
        <w:t xml:space="preserve"> Бучанський НВК "спеціалізована загальноосвітня школа І-ІІІ ступенів - загальноосвітня школа І-ІІІ ступенів "№ 2 Бучанської міської ради;</w:t>
      </w:r>
    </w:p>
    <w:p w:rsidR="00A34082" w:rsidRPr="00733689" w:rsidRDefault="00A34082" w:rsidP="00A34082">
      <w:pPr>
        <w:tabs>
          <w:tab w:val="left" w:pos="1260"/>
          <w:tab w:val="left" w:pos="1620"/>
        </w:tabs>
        <w:ind w:firstLine="567"/>
        <w:jc w:val="both"/>
        <w:rPr>
          <w:lang w:val="uk-UA"/>
        </w:rPr>
      </w:pPr>
      <w:r w:rsidRPr="00733689">
        <w:rPr>
          <w:lang w:val="uk-UA"/>
        </w:rPr>
        <w:t>Бучанський НВК "спеціалізована загальноосвітня школа І-ІІІ ступенів - загальноосвітня школа І-ІІІ ступенів "№ 3 Бучанської міської ради;</w:t>
      </w:r>
    </w:p>
    <w:p w:rsidR="00A34082" w:rsidRPr="00733689" w:rsidRDefault="00A34082" w:rsidP="00A34082">
      <w:pPr>
        <w:tabs>
          <w:tab w:val="left" w:pos="1260"/>
          <w:tab w:val="left" w:pos="1620"/>
        </w:tabs>
        <w:ind w:firstLine="567"/>
        <w:jc w:val="both"/>
        <w:rPr>
          <w:lang w:val="uk-UA"/>
        </w:rPr>
      </w:pPr>
      <w:r w:rsidRPr="00733689">
        <w:rPr>
          <w:lang w:val="uk-UA"/>
        </w:rPr>
        <w:t>Бучанський НВК "спеціалізована загальноосвітня школа І-ІІІ ступенів - загальноосвітня школа І-ІІІ ступенів "№ 4 Бучанської міської ради;</w:t>
      </w:r>
    </w:p>
    <w:p w:rsidR="00A34082" w:rsidRPr="00733689" w:rsidRDefault="00A34082" w:rsidP="00A34082">
      <w:pPr>
        <w:tabs>
          <w:tab w:val="left" w:pos="1260"/>
          <w:tab w:val="left" w:pos="1620"/>
        </w:tabs>
        <w:ind w:firstLine="567"/>
        <w:jc w:val="both"/>
        <w:rPr>
          <w:lang w:val="uk-UA"/>
        </w:rPr>
      </w:pPr>
      <w:r w:rsidRPr="00733689">
        <w:rPr>
          <w:lang w:val="uk-UA"/>
        </w:rPr>
        <w:t>Бучанська спеціалізована загальноосвітня школа І-ІІІ ступенів № 5 з поглибленим вивченням іноземних мов Бучанської міської ради;</w:t>
      </w:r>
    </w:p>
    <w:p w:rsidR="00A34082" w:rsidRPr="00733689" w:rsidRDefault="00A34082" w:rsidP="00A34082">
      <w:pPr>
        <w:tabs>
          <w:tab w:val="left" w:pos="1260"/>
          <w:tab w:val="left" w:pos="1620"/>
        </w:tabs>
        <w:ind w:firstLine="567"/>
        <w:jc w:val="both"/>
        <w:rPr>
          <w:lang w:val="uk-UA"/>
        </w:rPr>
      </w:pPr>
      <w:r w:rsidRPr="00733689">
        <w:rPr>
          <w:lang w:val="uk-UA"/>
        </w:rPr>
        <w:t>Комунальний заклад «Блиставицький заклад загальної середньої освіти І-ІІІ ступенів» № 6 Бучанської міської ради;</w:t>
      </w:r>
    </w:p>
    <w:p w:rsidR="00A34082" w:rsidRPr="00733689" w:rsidRDefault="00A34082" w:rsidP="00A34082">
      <w:pPr>
        <w:tabs>
          <w:tab w:val="left" w:pos="1260"/>
          <w:tab w:val="left" w:pos="1620"/>
        </w:tabs>
        <w:ind w:firstLine="567"/>
        <w:jc w:val="both"/>
        <w:rPr>
          <w:lang w:val="uk-UA"/>
        </w:rPr>
      </w:pPr>
      <w:r w:rsidRPr="00733689">
        <w:rPr>
          <w:lang w:val="uk-UA"/>
        </w:rPr>
        <w:t>Комунальний заклад «Луб’янський заклад загальної середньої освіти І-ІІ ступенів» № 7 Бучанської міської ради;</w:t>
      </w:r>
    </w:p>
    <w:p w:rsidR="00A34082" w:rsidRPr="00733689" w:rsidRDefault="00A34082" w:rsidP="00A34082">
      <w:pPr>
        <w:tabs>
          <w:tab w:val="left" w:pos="1260"/>
          <w:tab w:val="left" w:pos="1620"/>
        </w:tabs>
        <w:ind w:firstLine="567"/>
        <w:jc w:val="both"/>
        <w:rPr>
          <w:lang w:val="uk-UA"/>
        </w:rPr>
      </w:pPr>
      <w:r w:rsidRPr="00733689">
        <w:rPr>
          <w:lang w:val="uk-UA"/>
        </w:rPr>
        <w:t>Комунальний заклад «Гаврилівський заклад загальної середньої освіти І-ІІІ ступенів» № 8 Бучанської міської ради;</w:t>
      </w:r>
    </w:p>
    <w:p w:rsidR="00A34082" w:rsidRPr="00733689" w:rsidRDefault="00A34082" w:rsidP="00A34082">
      <w:pPr>
        <w:tabs>
          <w:tab w:val="left" w:pos="1260"/>
          <w:tab w:val="left" w:pos="1620"/>
        </w:tabs>
        <w:ind w:firstLine="567"/>
        <w:jc w:val="both"/>
        <w:rPr>
          <w:lang w:val="uk-UA"/>
        </w:rPr>
      </w:pPr>
      <w:r w:rsidRPr="00733689">
        <w:rPr>
          <w:lang w:val="uk-UA"/>
        </w:rPr>
        <w:t>Бучанська початкова школа І ступеня № 9 Бучанської міської ради;</w:t>
      </w:r>
    </w:p>
    <w:p w:rsidR="00A34082" w:rsidRPr="00733689" w:rsidRDefault="00A34082" w:rsidP="00A34082">
      <w:pPr>
        <w:tabs>
          <w:tab w:val="left" w:pos="1260"/>
          <w:tab w:val="left" w:pos="1620"/>
        </w:tabs>
        <w:ind w:firstLine="567"/>
        <w:jc w:val="both"/>
        <w:rPr>
          <w:lang w:val="uk-UA"/>
        </w:rPr>
      </w:pPr>
      <w:r w:rsidRPr="00733689">
        <w:rPr>
          <w:lang w:val="uk-UA"/>
        </w:rPr>
        <w:t>Комунальний заклад «Ворзельський заклад загальної середньої освіти І-ІІІ ступенів» № 10 Бучанської міської ради;</w:t>
      </w:r>
    </w:p>
    <w:p w:rsidR="00A34082" w:rsidRPr="00733689" w:rsidRDefault="00A34082" w:rsidP="00A34082">
      <w:pPr>
        <w:tabs>
          <w:tab w:val="left" w:pos="1260"/>
          <w:tab w:val="left" w:pos="1620"/>
        </w:tabs>
        <w:ind w:firstLine="567"/>
        <w:jc w:val="both"/>
        <w:rPr>
          <w:lang w:val="uk-UA"/>
        </w:rPr>
      </w:pPr>
      <w:r w:rsidRPr="00733689">
        <w:rPr>
          <w:lang w:val="uk-UA"/>
        </w:rPr>
        <w:t>Комунальний заклад «Ворзельська початкова школа» № 11 Бучанської міської ради;</w:t>
      </w:r>
    </w:p>
    <w:p w:rsidR="00A34082" w:rsidRPr="00733689" w:rsidRDefault="00A34082" w:rsidP="00A34082">
      <w:pPr>
        <w:tabs>
          <w:tab w:val="left" w:pos="1260"/>
          <w:tab w:val="left" w:pos="1620"/>
        </w:tabs>
        <w:ind w:firstLine="567"/>
        <w:jc w:val="both"/>
        <w:rPr>
          <w:lang w:val="uk-UA"/>
        </w:rPr>
      </w:pPr>
      <w:r w:rsidRPr="00733689">
        <w:rPr>
          <w:lang w:val="uk-UA"/>
        </w:rPr>
        <w:t>Комунальний заклад «Мироцька гімназія № 12» Бучанської міської ради;</w:t>
      </w:r>
    </w:p>
    <w:p w:rsidR="00A34082" w:rsidRPr="00733689" w:rsidRDefault="00A34082" w:rsidP="00A34082">
      <w:pPr>
        <w:tabs>
          <w:tab w:val="left" w:pos="1260"/>
          <w:tab w:val="left" w:pos="1620"/>
        </w:tabs>
        <w:ind w:firstLine="567"/>
        <w:jc w:val="both"/>
        <w:rPr>
          <w:lang w:val="uk-UA"/>
        </w:rPr>
      </w:pPr>
      <w:r w:rsidRPr="00733689">
        <w:rPr>
          <w:lang w:val="uk-UA"/>
        </w:rPr>
        <w:t>Комунальний заклад «Бабинецький заклад загальної середньої освіти І-ІІІ ступенів» № 13 Бучанської міської ради;</w:t>
      </w:r>
    </w:p>
    <w:p w:rsidR="00A34082" w:rsidRPr="00733689" w:rsidRDefault="00A34082" w:rsidP="00A34082">
      <w:pPr>
        <w:tabs>
          <w:tab w:val="left" w:pos="1260"/>
          <w:tab w:val="left" w:pos="1620"/>
        </w:tabs>
        <w:ind w:firstLine="567"/>
        <w:jc w:val="both"/>
        <w:rPr>
          <w:lang w:val="uk-UA"/>
        </w:rPr>
      </w:pPr>
      <w:r w:rsidRPr="00733689">
        <w:rPr>
          <w:lang w:val="uk-UA"/>
        </w:rPr>
        <w:t>Комунальний заклад «Здвижівська гімназія № 14» Бучанської міської ради, включно з</w:t>
      </w:r>
    </w:p>
    <w:p w:rsidR="00A34082" w:rsidRPr="00733689" w:rsidRDefault="00A34082" w:rsidP="00A34082">
      <w:pPr>
        <w:tabs>
          <w:tab w:val="left" w:pos="1260"/>
          <w:tab w:val="left" w:pos="1620"/>
        </w:tabs>
        <w:jc w:val="both"/>
        <w:rPr>
          <w:lang w:val="uk-UA"/>
        </w:rPr>
      </w:pPr>
      <w:r w:rsidRPr="00733689">
        <w:rPr>
          <w:lang w:val="uk-UA"/>
        </w:rPr>
        <w:t xml:space="preserve"> Здвижівським закладом дошкільної освіти Бучанської міської ради; </w:t>
      </w:r>
    </w:p>
    <w:p w:rsidR="00A34082" w:rsidRPr="00733689" w:rsidRDefault="00A34082" w:rsidP="00A34082">
      <w:pPr>
        <w:tabs>
          <w:tab w:val="left" w:pos="1260"/>
          <w:tab w:val="left" w:pos="1620"/>
        </w:tabs>
        <w:ind w:firstLine="567"/>
        <w:jc w:val="both"/>
        <w:rPr>
          <w:lang w:val="uk-UA"/>
        </w:rPr>
      </w:pPr>
      <w:r w:rsidRPr="00733689">
        <w:rPr>
          <w:lang w:val="uk-UA"/>
        </w:rPr>
        <w:t>Комунальний заклад «Синяківський хіміко-технологічний ліцей -  заклад загальної середньої освіти І-ІІ ступенів» № 15 Бучанської міської ради;</w:t>
      </w:r>
    </w:p>
    <w:p w:rsidR="00A34082" w:rsidRPr="00733689" w:rsidRDefault="00A34082" w:rsidP="00A34082">
      <w:pPr>
        <w:tabs>
          <w:tab w:val="left" w:pos="1260"/>
          <w:tab w:val="left" w:pos="1620"/>
        </w:tabs>
        <w:ind w:firstLine="567"/>
        <w:jc w:val="both"/>
        <w:rPr>
          <w:lang w:val="uk-UA"/>
        </w:rPr>
      </w:pPr>
      <w:r w:rsidRPr="00733689">
        <w:rPr>
          <w:lang w:val="uk-UA"/>
        </w:rPr>
        <w:t>Бучанська українська гімназія;</w:t>
      </w:r>
    </w:p>
    <w:p w:rsidR="00A34082" w:rsidRPr="00733689" w:rsidRDefault="00A34082" w:rsidP="00A34082">
      <w:pPr>
        <w:tabs>
          <w:tab w:val="left" w:pos="1260"/>
          <w:tab w:val="left" w:pos="1620"/>
        </w:tabs>
        <w:ind w:firstLine="567"/>
        <w:jc w:val="both"/>
        <w:rPr>
          <w:color w:val="FF0000"/>
          <w:lang w:val="uk-UA"/>
        </w:rPr>
      </w:pPr>
      <w:r w:rsidRPr="00733689">
        <w:rPr>
          <w:lang w:val="uk-UA"/>
        </w:rPr>
        <w:t>Навчально-виховний комплекс «Загальноосвітня школа І ступеня – дошкільний навчальний заклад «Берізка» Бучанської міської ради, включно з  закладом дошкільної освіти.</w:t>
      </w:r>
      <w:r w:rsidRPr="00733689">
        <w:rPr>
          <w:color w:val="FF0000"/>
          <w:lang w:val="uk-UA"/>
        </w:rPr>
        <w:t xml:space="preserve"> </w:t>
      </w:r>
    </w:p>
    <w:p w:rsidR="00A34082" w:rsidRPr="00733689" w:rsidRDefault="00A34082" w:rsidP="00A34082">
      <w:pPr>
        <w:tabs>
          <w:tab w:val="left" w:pos="1260"/>
          <w:tab w:val="left" w:pos="1620"/>
        </w:tabs>
        <w:ind w:firstLine="567"/>
        <w:jc w:val="both"/>
        <w:rPr>
          <w:lang w:val="uk-UA"/>
        </w:rPr>
      </w:pPr>
      <w:r w:rsidRPr="00733689">
        <w:rPr>
          <w:lang w:val="uk-UA"/>
        </w:rPr>
        <w:t>Загалом у закладах середньої освіти навчається 9395 учнів у 358-и класах.</w:t>
      </w:r>
    </w:p>
    <w:p w:rsidR="00A34082" w:rsidRPr="00733689" w:rsidRDefault="00A34082" w:rsidP="00A34082">
      <w:pPr>
        <w:tabs>
          <w:tab w:val="left" w:pos="993"/>
          <w:tab w:val="left" w:pos="1620"/>
        </w:tabs>
        <w:spacing w:line="276" w:lineRule="auto"/>
        <w:ind w:left="567"/>
        <w:jc w:val="both"/>
        <w:rPr>
          <w:b/>
          <w:lang w:val="uk-UA"/>
        </w:rPr>
      </w:pPr>
      <w:r w:rsidRPr="00733689">
        <w:rPr>
          <w:b/>
          <w:lang w:val="uk-UA"/>
        </w:rPr>
        <w:t xml:space="preserve">   -  1 центр позашкільної роботи;</w:t>
      </w:r>
    </w:p>
    <w:p w:rsidR="00A34082" w:rsidRPr="00733689" w:rsidRDefault="00A34082" w:rsidP="00A34082">
      <w:pPr>
        <w:tabs>
          <w:tab w:val="left" w:pos="769"/>
          <w:tab w:val="left" w:pos="1620"/>
        </w:tabs>
        <w:ind w:firstLine="709"/>
        <w:jc w:val="both"/>
        <w:rPr>
          <w:b/>
          <w:lang w:val="uk-UA"/>
        </w:rPr>
      </w:pPr>
      <w:r w:rsidRPr="00733689">
        <w:rPr>
          <w:b/>
          <w:lang w:val="uk-UA"/>
        </w:rPr>
        <w:t xml:space="preserve">-   1 централізована бухгалтерія; </w:t>
      </w:r>
    </w:p>
    <w:p w:rsidR="00A34082" w:rsidRPr="00733689" w:rsidRDefault="00A34082" w:rsidP="00A34082">
      <w:pPr>
        <w:tabs>
          <w:tab w:val="left" w:pos="769"/>
          <w:tab w:val="left" w:pos="1620"/>
        </w:tabs>
        <w:ind w:firstLine="709"/>
        <w:jc w:val="both"/>
        <w:rPr>
          <w:b/>
          <w:lang w:val="uk-UA"/>
        </w:rPr>
      </w:pPr>
      <w:r w:rsidRPr="00733689">
        <w:rPr>
          <w:b/>
          <w:lang w:val="uk-UA"/>
        </w:rPr>
        <w:t>-   1 централізована господарська група;</w:t>
      </w:r>
    </w:p>
    <w:p w:rsidR="00A34082" w:rsidRPr="00733689" w:rsidRDefault="00A34082" w:rsidP="00A34082">
      <w:pPr>
        <w:tabs>
          <w:tab w:val="left" w:pos="769"/>
          <w:tab w:val="left" w:pos="1620"/>
        </w:tabs>
        <w:ind w:firstLine="709"/>
        <w:jc w:val="both"/>
        <w:rPr>
          <w:lang w:val="uk-UA"/>
        </w:rPr>
      </w:pPr>
      <w:r w:rsidRPr="00733689">
        <w:rPr>
          <w:b/>
          <w:lang w:val="uk-UA"/>
        </w:rPr>
        <w:t>-  3 центри відділу освіти по роботі з дітьми</w:t>
      </w:r>
      <w:r w:rsidRPr="00733689">
        <w:rPr>
          <w:lang w:val="uk-UA"/>
        </w:rPr>
        <w:t xml:space="preserve"> (центр роботи з обдарованими дітьми, центр психологічної служби, центр національно-патріотичного напрямку навчання відділу освіти Бучанської міської ради; </w:t>
      </w:r>
    </w:p>
    <w:p w:rsidR="00A34082" w:rsidRPr="00733689" w:rsidRDefault="00A34082" w:rsidP="00A34082">
      <w:pPr>
        <w:tabs>
          <w:tab w:val="left" w:pos="769"/>
          <w:tab w:val="left" w:pos="1620"/>
        </w:tabs>
        <w:ind w:firstLine="709"/>
        <w:jc w:val="both"/>
        <w:rPr>
          <w:b/>
          <w:lang w:val="uk-UA"/>
        </w:rPr>
      </w:pPr>
      <w:r w:rsidRPr="00733689">
        <w:rPr>
          <w:b/>
          <w:lang w:val="uk-UA"/>
        </w:rPr>
        <w:t>- 1- Бучанський міський інклюзивно-ресурсний центр;</w:t>
      </w:r>
    </w:p>
    <w:p w:rsidR="00A34082" w:rsidRPr="00733689" w:rsidRDefault="00A34082" w:rsidP="00A34082">
      <w:pPr>
        <w:tabs>
          <w:tab w:val="left" w:pos="769"/>
          <w:tab w:val="left" w:pos="1620"/>
        </w:tabs>
        <w:ind w:firstLine="709"/>
        <w:jc w:val="both"/>
        <w:rPr>
          <w:b/>
          <w:lang w:val="uk-UA"/>
        </w:rPr>
      </w:pPr>
      <w:r w:rsidRPr="00733689">
        <w:rPr>
          <w:b/>
          <w:lang w:val="uk-UA"/>
        </w:rPr>
        <w:t>- 2 мистецькі школи;</w:t>
      </w:r>
    </w:p>
    <w:p w:rsidR="00A34082" w:rsidRPr="00733689" w:rsidRDefault="00A34082" w:rsidP="00A34082">
      <w:pPr>
        <w:ind w:firstLine="567"/>
        <w:jc w:val="both"/>
        <w:rPr>
          <w:lang w:val="uk-UA"/>
        </w:rPr>
      </w:pPr>
      <w:r w:rsidRPr="00733689">
        <w:rPr>
          <w:lang w:val="uk-UA"/>
        </w:rPr>
        <w:t>Харчування дітей в дошкільних та загальноосвітніх навчальних закладах здійснюється відповідно до місцевої цільової програми «Організація харчування дітей у закладах дошкільної та загальної середньої освіти Бучанської міської об</w:t>
      </w:r>
      <w:r w:rsidRPr="00E322BD">
        <w:rPr>
          <w:lang w:val="uk-UA"/>
        </w:rPr>
        <w:t>’</w:t>
      </w:r>
      <w:r w:rsidRPr="00733689">
        <w:rPr>
          <w:lang w:val="uk-UA"/>
        </w:rPr>
        <w:t xml:space="preserve">єднаної територіальної громади  на 2020-2022 роки»,  рішень  виконавчого комітету Бучанської міської ради. </w:t>
      </w:r>
    </w:p>
    <w:p w:rsidR="00A34082" w:rsidRPr="00733689" w:rsidRDefault="00A34082" w:rsidP="00A34082">
      <w:pPr>
        <w:ind w:firstLine="567"/>
        <w:jc w:val="both"/>
        <w:rPr>
          <w:color w:val="000000"/>
          <w:lang w:val="uk-UA"/>
        </w:rPr>
      </w:pPr>
      <w:r w:rsidRPr="00733689">
        <w:rPr>
          <w:color w:val="000000"/>
          <w:lang w:val="uk-UA"/>
        </w:rPr>
        <w:t>Плата за харчування однієї дитини у дошкільному навчальному закладі встановлена у розмірі:</w:t>
      </w:r>
    </w:p>
    <w:p w:rsidR="00A34082" w:rsidRPr="00733689" w:rsidRDefault="00A34082" w:rsidP="00A34082">
      <w:pPr>
        <w:ind w:firstLine="567"/>
        <w:jc w:val="both"/>
        <w:rPr>
          <w:color w:val="000000"/>
          <w:lang w:val="uk-UA"/>
        </w:rPr>
      </w:pPr>
      <w:r w:rsidRPr="00733689">
        <w:rPr>
          <w:color w:val="000000"/>
          <w:lang w:val="uk-UA"/>
        </w:rPr>
        <w:t>- для м. Буча, смт. Ворзель:  90%- батьківська плата, 10% - кошти місцевого бюджету;</w:t>
      </w:r>
    </w:p>
    <w:p w:rsidR="00A34082" w:rsidRPr="00733689" w:rsidRDefault="00A34082" w:rsidP="00A34082">
      <w:pPr>
        <w:ind w:firstLine="567"/>
        <w:jc w:val="both"/>
        <w:rPr>
          <w:color w:val="000000"/>
          <w:lang w:val="uk-UA"/>
        </w:rPr>
      </w:pPr>
      <w:r w:rsidRPr="00733689">
        <w:rPr>
          <w:color w:val="000000"/>
          <w:lang w:val="uk-UA"/>
        </w:rPr>
        <w:t>- для сіл Блиставиця, Луб’янка, Гаврилівка, Бабинці, Здвижівка, Мироцьке: 60% - батьківська плата, 40% - кошти місцевого бюджету.</w:t>
      </w:r>
    </w:p>
    <w:p w:rsidR="00A34082" w:rsidRPr="00733689" w:rsidRDefault="00A34082" w:rsidP="00A34082">
      <w:pPr>
        <w:ind w:firstLine="567"/>
        <w:jc w:val="both"/>
        <w:rPr>
          <w:color w:val="000000"/>
          <w:lang w:val="uk-UA"/>
        </w:rPr>
      </w:pPr>
      <w:r w:rsidRPr="00733689">
        <w:rPr>
          <w:color w:val="000000"/>
          <w:lang w:val="uk-UA"/>
        </w:rPr>
        <w:lastRenderedPageBreak/>
        <w:t xml:space="preserve">Вартість харчування на одну дитину в день  складала: для дітей віком до 3 (4)–х років - 26,00 грн., віком від 3-х до 6 (7 ) років - 34,00 грн. </w:t>
      </w:r>
    </w:p>
    <w:p w:rsidR="00A34082" w:rsidRPr="00733689" w:rsidRDefault="00A34082" w:rsidP="00A34082">
      <w:pPr>
        <w:ind w:firstLine="567"/>
        <w:jc w:val="both"/>
        <w:rPr>
          <w:color w:val="000000"/>
          <w:lang w:val="uk-UA"/>
        </w:rPr>
      </w:pPr>
      <w:r w:rsidRPr="00733689">
        <w:rPr>
          <w:color w:val="000000"/>
          <w:lang w:val="uk-UA"/>
        </w:rPr>
        <w:t>Безкоштовним  харчуванням по дошкільних навчальних закладах забезпечені діти із малозабезпечених сімей, діти-сироти, діти, які позбавлені батьківського піклування, діти з інвалідністю, діти загиблих воїнів АТО або які стали особами з інвалідністю, діти учасників АТО ( на час перебування),  діти, які потребують корекції фізичного та (або) розумового розвитку.</w:t>
      </w:r>
    </w:p>
    <w:p w:rsidR="00A34082" w:rsidRPr="00733689" w:rsidRDefault="00A34082" w:rsidP="00A34082">
      <w:pPr>
        <w:ind w:firstLine="567"/>
        <w:jc w:val="both"/>
        <w:rPr>
          <w:color w:val="000000"/>
          <w:lang w:val="uk-UA"/>
        </w:rPr>
      </w:pPr>
      <w:r w:rsidRPr="00733689">
        <w:rPr>
          <w:color w:val="000000"/>
          <w:lang w:val="uk-UA"/>
        </w:rPr>
        <w:t xml:space="preserve"> Діти з багатодітних сімей, діти батьки яких є учасниками бойових дій – АТО, або які були в зоні АТО, діти із сімей, які опинились у складних життєвих обставинах та перебувають на відповідному обліку у службі у справах дітей та сім'ї Бучанської міської ради, центрі соціальних  служб для сім'ї, дітей та молоді мають пільгу 50% плати за харчування. Кількість дітей, які одержали безкоштовне та пільгове харчування, становить  698 дітей, з них: </w:t>
      </w:r>
    </w:p>
    <w:p w:rsidR="00A34082" w:rsidRPr="00733689" w:rsidRDefault="00A34082" w:rsidP="00A34082">
      <w:pPr>
        <w:pStyle w:val="af6"/>
        <w:numPr>
          <w:ilvl w:val="0"/>
          <w:numId w:val="38"/>
        </w:numPr>
        <w:spacing w:after="0" w:line="240" w:lineRule="auto"/>
        <w:jc w:val="both"/>
        <w:rPr>
          <w:rFonts w:ascii="Times New Roman" w:hAnsi="Times New Roman"/>
          <w:color w:val="000000"/>
          <w:sz w:val="24"/>
          <w:szCs w:val="24"/>
        </w:rPr>
      </w:pPr>
      <w:r w:rsidRPr="00733689">
        <w:rPr>
          <w:rFonts w:ascii="Times New Roman" w:hAnsi="Times New Roman"/>
          <w:color w:val="000000"/>
          <w:sz w:val="24"/>
          <w:szCs w:val="24"/>
        </w:rPr>
        <w:t>діти-сироти та діти, позбавлені батьківського піклування - 2 дитини;</w:t>
      </w:r>
    </w:p>
    <w:p w:rsidR="00A34082" w:rsidRPr="00733689" w:rsidRDefault="00A34082" w:rsidP="00A34082">
      <w:pPr>
        <w:pStyle w:val="af6"/>
        <w:numPr>
          <w:ilvl w:val="0"/>
          <w:numId w:val="38"/>
        </w:numPr>
        <w:spacing w:after="0" w:line="240" w:lineRule="auto"/>
        <w:jc w:val="both"/>
        <w:rPr>
          <w:rFonts w:ascii="Times New Roman" w:hAnsi="Times New Roman"/>
          <w:color w:val="000000"/>
          <w:sz w:val="24"/>
          <w:szCs w:val="24"/>
        </w:rPr>
      </w:pPr>
      <w:r w:rsidRPr="00733689">
        <w:rPr>
          <w:rFonts w:ascii="Times New Roman" w:hAnsi="Times New Roman"/>
          <w:color w:val="000000"/>
          <w:sz w:val="24"/>
          <w:szCs w:val="24"/>
        </w:rPr>
        <w:t>діти із багатодітних та малозабезпечених сімей - 242 дитини;</w:t>
      </w:r>
    </w:p>
    <w:p w:rsidR="00A34082" w:rsidRPr="00733689" w:rsidRDefault="00A34082" w:rsidP="00A34082">
      <w:pPr>
        <w:pStyle w:val="af6"/>
        <w:numPr>
          <w:ilvl w:val="0"/>
          <w:numId w:val="38"/>
        </w:numPr>
        <w:spacing w:after="0" w:line="240" w:lineRule="auto"/>
        <w:jc w:val="both"/>
        <w:rPr>
          <w:rFonts w:ascii="Times New Roman" w:hAnsi="Times New Roman"/>
          <w:color w:val="000000"/>
          <w:sz w:val="24"/>
          <w:szCs w:val="24"/>
        </w:rPr>
      </w:pPr>
      <w:r w:rsidRPr="00733689">
        <w:rPr>
          <w:rFonts w:ascii="Times New Roman" w:hAnsi="Times New Roman"/>
          <w:color w:val="000000"/>
          <w:sz w:val="24"/>
          <w:szCs w:val="24"/>
        </w:rPr>
        <w:t>діти з особливими освітніми потребами, які навчаються у спеціальних та інклюзивних групах – 241 дитина;</w:t>
      </w:r>
    </w:p>
    <w:p w:rsidR="00A34082" w:rsidRPr="00733689" w:rsidRDefault="00A34082" w:rsidP="00A34082">
      <w:pPr>
        <w:pStyle w:val="af6"/>
        <w:numPr>
          <w:ilvl w:val="0"/>
          <w:numId w:val="38"/>
        </w:numPr>
        <w:spacing w:after="0" w:line="240" w:lineRule="auto"/>
        <w:jc w:val="both"/>
        <w:rPr>
          <w:rFonts w:ascii="Times New Roman" w:hAnsi="Times New Roman"/>
          <w:color w:val="000000"/>
          <w:sz w:val="24"/>
          <w:szCs w:val="24"/>
        </w:rPr>
      </w:pPr>
      <w:r w:rsidRPr="00733689">
        <w:rPr>
          <w:rFonts w:ascii="Times New Roman" w:hAnsi="Times New Roman"/>
          <w:color w:val="000000"/>
          <w:sz w:val="24"/>
          <w:szCs w:val="24"/>
        </w:rPr>
        <w:t>діти з числа внутрішньо переміщених осіб чи дітей, які мають статус дитини,  яка постраждала внаслідок воєнних дій і збройних конфліктів – 73 дитини;</w:t>
      </w:r>
    </w:p>
    <w:p w:rsidR="00A34082" w:rsidRPr="00733689" w:rsidRDefault="00A34082" w:rsidP="00A34082">
      <w:pPr>
        <w:pStyle w:val="af6"/>
        <w:numPr>
          <w:ilvl w:val="0"/>
          <w:numId w:val="38"/>
        </w:numPr>
        <w:spacing w:after="0" w:line="240" w:lineRule="auto"/>
        <w:jc w:val="both"/>
        <w:rPr>
          <w:rFonts w:ascii="Times New Roman" w:hAnsi="Times New Roman"/>
          <w:color w:val="000000"/>
          <w:sz w:val="24"/>
          <w:szCs w:val="24"/>
        </w:rPr>
      </w:pPr>
      <w:r w:rsidRPr="00733689">
        <w:rPr>
          <w:rFonts w:ascii="Times New Roman" w:hAnsi="Times New Roman"/>
          <w:color w:val="000000"/>
          <w:sz w:val="24"/>
          <w:szCs w:val="24"/>
        </w:rPr>
        <w:t>діти осіб інших категорій, визначених рішенням органу місцевого самоврядування – 140 дитини.</w:t>
      </w:r>
    </w:p>
    <w:p w:rsidR="00A34082" w:rsidRPr="00733689" w:rsidRDefault="00A34082" w:rsidP="00A34082">
      <w:pPr>
        <w:ind w:firstLine="567"/>
        <w:jc w:val="both"/>
        <w:rPr>
          <w:color w:val="000000"/>
          <w:lang w:val="uk-UA"/>
        </w:rPr>
      </w:pPr>
      <w:r w:rsidRPr="00733689">
        <w:rPr>
          <w:color w:val="000000"/>
          <w:lang w:val="uk-UA"/>
        </w:rPr>
        <w:t>Для учнів 1-11 класів закладів загальної середньої освіти з числа пільгових категорій вартість надання послуг з харчування одного учня на день складає 35,00 грн. – 100% за рахунок коштів місцевого бюджету м. Буча.</w:t>
      </w:r>
    </w:p>
    <w:p w:rsidR="00A34082" w:rsidRPr="00733689" w:rsidRDefault="00A34082" w:rsidP="00A34082">
      <w:pPr>
        <w:ind w:firstLine="567"/>
        <w:jc w:val="both"/>
        <w:rPr>
          <w:color w:val="000000"/>
          <w:lang w:val="uk-UA"/>
        </w:rPr>
      </w:pPr>
      <w:r w:rsidRPr="00733689">
        <w:rPr>
          <w:color w:val="000000"/>
          <w:lang w:val="uk-UA"/>
        </w:rPr>
        <w:t>Забезпечені безкоштовним харчуванням учні 1-11 класів кількістю 1 073 учні, з них:</w:t>
      </w:r>
    </w:p>
    <w:p w:rsidR="00A34082" w:rsidRPr="00733689" w:rsidRDefault="00A34082" w:rsidP="00A34082">
      <w:pPr>
        <w:pStyle w:val="af6"/>
        <w:spacing w:after="0" w:line="240" w:lineRule="auto"/>
        <w:ind w:left="709"/>
        <w:jc w:val="both"/>
        <w:rPr>
          <w:rFonts w:ascii="Times New Roman" w:hAnsi="Times New Roman"/>
          <w:color w:val="000000"/>
          <w:sz w:val="24"/>
          <w:szCs w:val="24"/>
        </w:rPr>
      </w:pPr>
      <w:r w:rsidRPr="00733689">
        <w:rPr>
          <w:rFonts w:ascii="Times New Roman" w:hAnsi="Times New Roman"/>
          <w:color w:val="000000"/>
          <w:sz w:val="24"/>
          <w:szCs w:val="24"/>
        </w:rPr>
        <w:t>- діти-сироти, діти, позбавлені батьківського піклування, -  66 учні;</w:t>
      </w:r>
    </w:p>
    <w:p w:rsidR="00A34082" w:rsidRPr="00733689" w:rsidRDefault="00A34082" w:rsidP="00A34082">
      <w:pPr>
        <w:pStyle w:val="af6"/>
        <w:spacing w:after="0" w:line="240" w:lineRule="auto"/>
        <w:ind w:left="709"/>
        <w:jc w:val="both"/>
        <w:rPr>
          <w:rFonts w:ascii="Times New Roman" w:hAnsi="Times New Roman"/>
          <w:color w:val="000000"/>
          <w:sz w:val="24"/>
          <w:szCs w:val="24"/>
        </w:rPr>
      </w:pPr>
      <w:r w:rsidRPr="00733689">
        <w:rPr>
          <w:rFonts w:ascii="Times New Roman" w:hAnsi="Times New Roman"/>
          <w:color w:val="000000"/>
          <w:sz w:val="24"/>
          <w:szCs w:val="24"/>
        </w:rPr>
        <w:t>- діти з багатодітних та малозабезпечених сімей – 74 учні;</w:t>
      </w:r>
    </w:p>
    <w:p w:rsidR="00A34082" w:rsidRPr="00733689" w:rsidRDefault="00A34082" w:rsidP="00A34082">
      <w:pPr>
        <w:pStyle w:val="af6"/>
        <w:spacing w:after="0" w:line="240" w:lineRule="auto"/>
        <w:ind w:left="709"/>
        <w:jc w:val="both"/>
        <w:rPr>
          <w:rFonts w:ascii="Times New Roman" w:hAnsi="Times New Roman"/>
          <w:color w:val="000000"/>
          <w:sz w:val="24"/>
          <w:szCs w:val="24"/>
        </w:rPr>
      </w:pPr>
      <w:r w:rsidRPr="00733689">
        <w:rPr>
          <w:rFonts w:ascii="Times New Roman" w:hAnsi="Times New Roman"/>
          <w:color w:val="000000"/>
          <w:sz w:val="24"/>
          <w:szCs w:val="24"/>
        </w:rPr>
        <w:t>-діти з особливими освітніми потребами, які навчаються у спеціальних та  інклюзивних класах ( групах), – 89 учні;</w:t>
      </w:r>
    </w:p>
    <w:p w:rsidR="00A34082" w:rsidRPr="00733689" w:rsidRDefault="00A34082" w:rsidP="00A34082">
      <w:pPr>
        <w:pStyle w:val="af6"/>
        <w:spacing w:after="0" w:line="240" w:lineRule="auto"/>
        <w:ind w:left="709"/>
        <w:jc w:val="both"/>
        <w:rPr>
          <w:rFonts w:ascii="Times New Roman" w:hAnsi="Times New Roman"/>
          <w:color w:val="000000"/>
          <w:sz w:val="24"/>
          <w:szCs w:val="24"/>
        </w:rPr>
      </w:pPr>
      <w:r w:rsidRPr="00733689">
        <w:rPr>
          <w:rFonts w:ascii="Times New Roman" w:hAnsi="Times New Roman"/>
          <w:color w:val="000000"/>
          <w:sz w:val="24"/>
          <w:szCs w:val="24"/>
        </w:rPr>
        <w:t>- діти, з числа внутрішньо переміщених осіб чи діти, які мають статус дитини, яка постраждала внаслідок воєнних дій і збройних конфліктів, – 431 учні;</w:t>
      </w:r>
    </w:p>
    <w:p w:rsidR="00A34082" w:rsidRPr="00733689" w:rsidRDefault="00A34082" w:rsidP="00A34082">
      <w:pPr>
        <w:pStyle w:val="af6"/>
        <w:spacing w:after="0" w:line="240" w:lineRule="auto"/>
        <w:ind w:left="709"/>
        <w:jc w:val="both"/>
        <w:rPr>
          <w:rFonts w:ascii="Times New Roman" w:hAnsi="Times New Roman"/>
          <w:color w:val="000000"/>
          <w:sz w:val="24"/>
          <w:szCs w:val="24"/>
        </w:rPr>
      </w:pPr>
      <w:r w:rsidRPr="00733689">
        <w:rPr>
          <w:rFonts w:ascii="Times New Roman" w:hAnsi="Times New Roman"/>
          <w:color w:val="000000"/>
          <w:sz w:val="24"/>
          <w:szCs w:val="24"/>
        </w:rPr>
        <w:t>- діти, батьки яких загинули або пропали безвісти ), померли, захищаючи суверенітет, незалежність та територіальну цілісність України, – 14 учні;</w:t>
      </w:r>
    </w:p>
    <w:p w:rsidR="00A34082" w:rsidRPr="00733689" w:rsidRDefault="00A34082" w:rsidP="00A34082">
      <w:pPr>
        <w:pStyle w:val="af6"/>
        <w:spacing w:after="0" w:line="240" w:lineRule="auto"/>
        <w:ind w:left="709"/>
        <w:jc w:val="both"/>
        <w:rPr>
          <w:rFonts w:ascii="Times New Roman" w:hAnsi="Times New Roman"/>
          <w:color w:val="000000"/>
          <w:sz w:val="24"/>
          <w:szCs w:val="24"/>
        </w:rPr>
      </w:pPr>
      <w:r w:rsidRPr="00733689">
        <w:rPr>
          <w:rFonts w:ascii="Times New Roman" w:hAnsi="Times New Roman"/>
          <w:color w:val="000000"/>
          <w:sz w:val="24"/>
          <w:szCs w:val="24"/>
        </w:rPr>
        <w:t>- діти осіб інших категорій, визначених рішенням органу місцевого самоврядування, – 399 учні</w:t>
      </w:r>
      <w:r>
        <w:rPr>
          <w:rFonts w:ascii="Times New Roman" w:hAnsi="Times New Roman"/>
          <w:color w:val="000000"/>
          <w:sz w:val="24"/>
          <w:szCs w:val="24"/>
        </w:rPr>
        <w:t>.</w:t>
      </w:r>
    </w:p>
    <w:p w:rsidR="00A34082" w:rsidRDefault="00A34082" w:rsidP="00A34082">
      <w:pPr>
        <w:ind w:firstLine="708"/>
        <w:jc w:val="both"/>
        <w:rPr>
          <w:color w:val="000000"/>
          <w:lang w:val="uk-UA"/>
        </w:rPr>
      </w:pPr>
      <w:r w:rsidRPr="00E322BD">
        <w:rPr>
          <w:color w:val="000000"/>
          <w:lang w:val="uk-UA"/>
        </w:rPr>
        <w:t>Безкоштовним харчуванням також забезпечуються учні  1-4 класів, що відвідують групу продовженого дня (вартість харчування на ГПД – 15,00 грн. на одного учня), батьки яких загинули в АТО ( 8 дітей), малозабезпечених сімей, які отримують державну соціальну допомогу ( 28 дітей).</w:t>
      </w:r>
    </w:p>
    <w:p w:rsidR="00A34082" w:rsidRPr="00734486" w:rsidRDefault="00A34082" w:rsidP="00A34082">
      <w:pPr>
        <w:ind w:firstLine="708"/>
        <w:jc w:val="both"/>
        <w:rPr>
          <w:color w:val="000000"/>
          <w:sz w:val="10"/>
          <w:szCs w:val="10"/>
          <w:lang w:val="uk-UA"/>
        </w:rPr>
      </w:pPr>
    </w:p>
    <w:p w:rsidR="00A34082" w:rsidRPr="00DA5ADE" w:rsidRDefault="00A34082" w:rsidP="00A34082">
      <w:pPr>
        <w:ind w:firstLine="708"/>
        <w:jc w:val="both"/>
        <w:rPr>
          <w:b/>
          <w:i/>
          <w:color w:val="000000"/>
          <w:sz w:val="25"/>
          <w:szCs w:val="25"/>
          <w:lang w:val="uk-UA"/>
        </w:rPr>
      </w:pPr>
      <w:r w:rsidRPr="00DA5ADE">
        <w:rPr>
          <w:b/>
          <w:i/>
          <w:color w:val="000000"/>
          <w:sz w:val="25"/>
          <w:szCs w:val="25"/>
          <w:lang w:val="uk-UA"/>
        </w:rPr>
        <w:t>Загальний фонд</w:t>
      </w:r>
    </w:p>
    <w:p w:rsidR="00A34082" w:rsidRPr="00734486" w:rsidRDefault="00A34082" w:rsidP="00A34082">
      <w:pPr>
        <w:ind w:firstLine="708"/>
        <w:jc w:val="both"/>
        <w:rPr>
          <w:i/>
          <w:color w:val="000000"/>
          <w:sz w:val="10"/>
          <w:szCs w:val="10"/>
          <w:u w:val="single"/>
          <w:lang w:val="uk-UA"/>
        </w:rPr>
      </w:pPr>
    </w:p>
    <w:p w:rsidR="00A34082" w:rsidRPr="00733689" w:rsidRDefault="00A34082" w:rsidP="00A34082">
      <w:pPr>
        <w:ind w:firstLine="709"/>
        <w:jc w:val="both"/>
        <w:rPr>
          <w:lang w:val="uk-UA"/>
        </w:rPr>
      </w:pPr>
      <w:r w:rsidRPr="00733689">
        <w:rPr>
          <w:lang w:val="uk-UA"/>
        </w:rPr>
        <w:t xml:space="preserve">За бюджетною програмою 1010 « Надання дошкільної освіти» при уточненому плані </w:t>
      </w:r>
      <w:r>
        <w:rPr>
          <w:lang w:val="uk-UA"/>
        </w:rPr>
        <w:t>26 037,4</w:t>
      </w:r>
      <w:r w:rsidRPr="00733689">
        <w:rPr>
          <w:lang w:val="uk-UA"/>
        </w:rPr>
        <w:t xml:space="preserve"> тис. грн. використано </w:t>
      </w:r>
      <w:r>
        <w:rPr>
          <w:lang w:val="uk-UA"/>
        </w:rPr>
        <w:t>21 574,9</w:t>
      </w:r>
      <w:r w:rsidRPr="00733689">
        <w:rPr>
          <w:lang w:val="uk-UA"/>
        </w:rPr>
        <w:t xml:space="preserve"> тис. грн., що становить </w:t>
      </w:r>
      <w:r>
        <w:rPr>
          <w:lang w:val="uk-UA"/>
        </w:rPr>
        <w:t xml:space="preserve">82,8 </w:t>
      </w:r>
      <w:r w:rsidRPr="00733689">
        <w:rPr>
          <w:lang w:val="uk-UA"/>
        </w:rPr>
        <w:t xml:space="preserve">% виконання плану. </w:t>
      </w:r>
    </w:p>
    <w:p w:rsidR="00A34082" w:rsidRPr="00733689" w:rsidRDefault="00A34082" w:rsidP="00A34082">
      <w:pPr>
        <w:ind w:firstLine="709"/>
        <w:jc w:val="both"/>
        <w:rPr>
          <w:lang w:val="uk-UA"/>
        </w:rPr>
      </w:pPr>
      <w:r w:rsidRPr="00733689">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w:t>
      </w:r>
      <w:r>
        <w:rPr>
          <w:lang w:val="uk-UA"/>
        </w:rPr>
        <w:t>20 324,3</w:t>
      </w:r>
      <w:r w:rsidRPr="00733689">
        <w:rPr>
          <w:lang w:val="uk-UA"/>
        </w:rPr>
        <w:t xml:space="preserve"> тис. грн. використано </w:t>
      </w:r>
      <w:r>
        <w:rPr>
          <w:lang w:val="uk-UA"/>
        </w:rPr>
        <w:t xml:space="preserve"> 15 739,4</w:t>
      </w:r>
      <w:r w:rsidRPr="00733689">
        <w:rPr>
          <w:lang w:val="uk-UA"/>
        </w:rPr>
        <w:t xml:space="preserve">тис. грн., що становить </w:t>
      </w:r>
      <w:r>
        <w:rPr>
          <w:lang w:val="uk-UA"/>
        </w:rPr>
        <w:t xml:space="preserve">77,4 </w:t>
      </w:r>
      <w:r w:rsidRPr="00733689">
        <w:rPr>
          <w:lang w:val="uk-UA"/>
        </w:rPr>
        <w:t xml:space="preserve"> % виконання.</w:t>
      </w:r>
    </w:p>
    <w:p w:rsidR="00A34082" w:rsidRPr="00733689" w:rsidRDefault="00A34082" w:rsidP="00A34082">
      <w:pPr>
        <w:ind w:firstLine="709"/>
        <w:jc w:val="both"/>
        <w:rPr>
          <w:lang w:val="uk-UA"/>
        </w:rPr>
      </w:pPr>
      <w:r w:rsidRPr="00733689">
        <w:rPr>
          <w:lang w:val="uk-UA"/>
        </w:rPr>
        <w:t xml:space="preserve">За бюджетною програмою 1031 «Надання загальної середньої освіти закладами загальної середньої освіти» ( за рахунок освітньої субвенції)  при уточненому плані 34 412,3 тис. грн. використано 32 096,0 тис. грн., що становить 93,3 % виконання. Кошти освітньої субвенції спрямовуються на оплату праці з нарахуваннями педагогічного персоналу загальноосвітніх навчальних закладів. </w:t>
      </w:r>
    </w:p>
    <w:p w:rsidR="00A34082" w:rsidRPr="00733689" w:rsidRDefault="00A34082" w:rsidP="00A34082">
      <w:pPr>
        <w:ind w:firstLine="709"/>
        <w:jc w:val="both"/>
        <w:rPr>
          <w:lang w:val="uk-UA"/>
        </w:rPr>
      </w:pPr>
      <w:r w:rsidRPr="00733689">
        <w:rPr>
          <w:lang w:val="uk-UA"/>
        </w:rPr>
        <w:t>За бюджетною програмою 1061 «Надання загальної середньої освіти закладами загальної середньої освіти» ( за рахунок залишку коштів, що мають цільове призначення, )  при уточненому плані 2 371,6 тис. грн. використано 102,0 тис. грн., що становить 4,3 % виконання. Кошти вказаної бюджетної програми  використано на  оплату за виготовлення проектної документації «Системи пожежної сигналізації та оповіщення про пожежу».</w:t>
      </w:r>
    </w:p>
    <w:p w:rsidR="00A34082" w:rsidRPr="00733689" w:rsidRDefault="00A34082" w:rsidP="00A34082">
      <w:pPr>
        <w:ind w:firstLine="709"/>
        <w:jc w:val="both"/>
        <w:rPr>
          <w:lang w:val="uk-UA"/>
        </w:rPr>
      </w:pPr>
      <w:r w:rsidRPr="00733689">
        <w:rPr>
          <w:lang w:val="uk-UA"/>
        </w:rPr>
        <w:lastRenderedPageBreak/>
        <w:t>За бюджетною програмою 1070 « Надання позашкільної освіти закладами позашкільної освіти, заходи із позашкільної роботи з дітьми» при уточненому плані 1 382,7 тис. грн. використано 1 001,8тис. грн., що становить 72,4 % виконання.</w:t>
      </w:r>
    </w:p>
    <w:p w:rsidR="00A34082" w:rsidRPr="00733689" w:rsidRDefault="00A34082" w:rsidP="00A34082">
      <w:pPr>
        <w:ind w:firstLine="709"/>
        <w:jc w:val="both"/>
        <w:rPr>
          <w:lang w:val="uk-UA"/>
        </w:rPr>
      </w:pPr>
      <w:r w:rsidRPr="00733689">
        <w:rPr>
          <w:lang w:val="uk-UA"/>
        </w:rPr>
        <w:t>За бюджетною програмою 1141 «Забезпечення діяльності  інших закладів у сфері освіти» при уточненому плані 1 116,3 тис.</w:t>
      </w:r>
      <w:r w:rsidR="001F54DC">
        <w:rPr>
          <w:lang w:val="uk-UA"/>
        </w:rPr>
        <w:t xml:space="preserve"> </w:t>
      </w:r>
      <w:r w:rsidRPr="00733689">
        <w:rPr>
          <w:lang w:val="uk-UA"/>
        </w:rPr>
        <w:t>грн. використано  1 059,8 тис.</w:t>
      </w:r>
      <w:r w:rsidR="001F54DC">
        <w:rPr>
          <w:lang w:val="uk-UA"/>
        </w:rPr>
        <w:t xml:space="preserve"> </w:t>
      </w:r>
      <w:r w:rsidRPr="00733689">
        <w:rPr>
          <w:lang w:val="uk-UA"/>
        </w:rPr>
        <w:t>грн, що становить 94,9 %.</w:t>
      </w:r>
    </w:p>
    <w:p w:rsidR="00A34082" w:rsidRPr="00733689" w:rsidRDefault="00A34082" w:rsidP="00A34082">
      <w:pPr>
        <w:ind w:firstLine="709"/>
        <w:jc w:val="both"/>
        <w:rPr>
          <w:lang w:val="uk-UA"/>
        </w:rPr>
      </w:pPr>
      <w:r w:rsidRPr="00733689">
        <w:rPr>
          <w:lang w:val="uk-UA"/>
        </w:rPr>
        <w:t>За бюджетною програмою 1151 « Забезпечення діяльності інклюзивно-ресурсних центрів за рахунок коштів місцевого бюджету» при уточненому  плані 23,2 тис. грн. використано 12,8 тис. грн., виконання склало 55,2 %.</w:t>
      </w:r>
    </w:p>
    <w:p w:rsidR="00A34082" w:rsidRPr="00733689" w:rsidRDefault="00A34082" w:rsidP="00A34082">
      <w:pPr>
        <w:ind w:firstLine="709"/>
        <w:jc w:val="both"/>
        <w:rPr>
          <w:lang w:val="uk-UA"/>
        </w:rPr>
      </w:pPr>
      <w:r w:rsidRPr="00733689">
        <w:rPr>
          <w:lang w:val="uk-UA"/>
        </w:rPr>
        <w:t>За бюджетною програмою 1152 « Забезпечення діяльності інклюзивно -ресурсних центрів за рахунок освітньої субвенції» при плані 316,6 тис. грн.  використано 316,6 тис. грн., виконання становить 100,0 %.</w:t>
      </w:r>
    </w:p>
    <w:p w:rsidR="00A34082" w:rsidRPr="00733689" w:rsidRDefault="00A34082" w:rsidP="00A34082">
      <w:pPr>
        <w:ind w:firstLine="709"/>
        <w:jc w:val="both"/>
        <w:rPr>
          <w:lang w:val="uk-UA"/>
        </w:rPr>
      </w:pPr>
      <w:r w:rsidRPr="00733689">
        <w:rPr>
          <w:lang w:val="uk-UA"/>
        </w:rPr>
        <w:t>За бюджетною програмою 1200 « Надання освіти за рахунок субвенції з державного бюджету місцевим бюджетам  на надання державної підтримки особам з особливими освітніми  потребами» при плані 282,9 тис. грн. використано 151,9 тис. грн., виконання склало 53,7 % .Кошти використовувалися на оплату психолого-педагогічних, корекційно-розвиткових послуг, придбання спеціальних засобів корекції психофізичних розвитку.</w:t>
      </w:r>
    </w:p>
    <w:p w:rsidR="00A34082" w:rsidRPr="00733689" w:rsidRDefault="00A34082" w:rsidP="00A34082">
      <w:pPr>
        <w:ind w:firstLine="709"/>
        <w:jc w:val="both"/>
        <w:rPr>
          <w:lang w:val="uk-UA"/>
        </w:rPr>
      </w:pPr>
      <w:r w:rsidRPr="00733689">
        <w:rPr>
          <w:lang w:val="uk-UA"/>
        </w:rPr>
        <w:t>За бюджетною програмою 1080 « Надання спеціальної освіти мистецькими школами » при плані 3 401,2 тис. грн. використано 2 210,7 тис. грн., виконання склало 65,0 %. Головний виконавець програми відділ культури, національностей та релігії Бучанської міської ради.</w:t>
      </w:r>
    </w:p>
    <w:p w:rsidR="00A34082" w:rsidRPr="00734486" w:rsidRDefault="00A34082" w:rsidP="00A34082">
      <w:pPr>
        <w:ind w:firstLine="709"/>
        <w:jc w:val="both"/>
        <w:rPr>
          <w:sz w:val="10"/>
          <w:szCs w:val="10"/>
          <w:lang w:val="uk-UA"/>
        </w:rPr>
      </w:pPr>
    </w:p>
    <w:p w:rsidR="00A34082" w:rsidRPr="00A34082" w:rsidRDefault="00A34082" w:rsidP="00A34082">
      <w:pPr>
        <w:ind w:firstLine="709"/>
        <w:jc w:val="both"/>
        <w:rPr>
          <w:b/>
          <w:i/>
          <w:sz w:val="25"/>
          <w:szCs w:val="25"/>
          <w:lang w:val="uk-UA"/>
        </w:rPr>
      </w:pPr>
      <w:r w:rsidRPr="00A34082">
        <w:rPr>
          <w:b/>
          <w:i/>
          <w:sz w:val="25"/>
          <w:szCs w:val="25"/>
          <w:lang w:val="uk-UA"/>
        </w:rPr>
        <w:t>Спеціальний фонд</w:t>
      </w:r>
    </w:p>
    <w:p w:rsidR="00A34082" w:rsidRPr="00734486" w:rsidRDefault="00A34082" w:rsidP="00A34082">
      <w:pPr>
        <w:ind w:firstLine="709"/>
        <w:jc w:val="both"/>
        <w:rPr>
          <w:sz w:val="10"/>
          <w:szCs w:val="10"/>
          <w:u w:val="single"/>
          <w:lang w:val="uk-UA"/>
        </w:rPr>
      </w:pPr>
    </w:p>
    <w:p w:rsidR="00A34082" w:rsidRPr="003E1DBF" w:rsidRDefault="00A34082" w:rsidP="00A34082">
      <w:pPr>
        <w:ind w:firstLine="709"/>
        <w:jc w:val="both"/>
        <w:rPr>
          <w:lang w:val="uk-UA"/>
        </w:rPr>
      </w:pPr>
      <w:r w:rsidRPr="00733689">
        <w:rPr>
          <w:lang w:val="uk-UA"/>
        </w:rPr>
        <w:t>Видатки спеціального  фонду в галузі «Освіта» за І квартал 2021 року  склали 2 087,7 тис.</w:t>
      </w:r>
      <w:r w:rsidR="00A26AAA">
        <w:rPr>
          <w:lang w:val="uk-UA"/>
        </w:rPr>
        <w:t xml:space="preserve"> </w:t>
      </w:r>
      <w:r w:rsidRPr="00733689">
        <w:rPr>
          <w:lang w:val="uk-UA"/>
        </w:rPr>
        <w:t>грн при уточненому плані в 12 587,8 тис.</w:t>
      </w:r>
      <w:r w:rsidR="00A26AAA">
        <w:rPr>
          <w:lang w:val="uk-UA"/>
        </w:rPr>
        <w:t xml:space="preserve"> </w:t>
      </w:r>
      <w:r w:rsidRPr="00733689">
        <w:rPr>
          <w:lang w:val="uk-UA"/>
        </w:rPr>
        <w:t>грн,</w:t>
      </w:r>
      <w:r>
        <w:rPr>
          <w:lang w:val="uk-UA"/>
        </w:rPr>
        <w:t xml:space="preserve"> що становить 16,6 % виконання. З них:</w:t>
      </w:r>
    </w:p>
    <w:p w:rsidR="00A34082" w:rsidRPr="00733689" w:rsidRDefault="00A34082" w:rsidP="00A34082">
      <w:pPr>
        <w:ind w:firstLine="709"/>
        <w:jc w:val="both"/>
        <w:rPr>
          <w:lang w:val="uk-UA"/>
        </w:rPr>
      </w:pPr>
      <w:r w:rsidRPr="00733689">
        <w:rPr>
          <w:lang w:val="uk-UA"/>
        </w:rPr>
        <w:t xml:space="preserve">За бюджетною програмою 1010 « Надання дошкільної освіти» при уточненому плані </w:t>
      </w:r>
      <w:r>
        <w:rPr>
          <w:lang w:val="uk-UA"/>
        </w:rPr>
        <w:t>7 772,5</w:t>
      </w:r>
      <w:r w:rsidRPr="00733689">
        <w:rPr>
          <w:lang w:val="uk-UA"/>
        </w:rPr>
        <w:t xml:space="preserve"> тис. грн. використано </w:t>
      </w:r>
      <w:r>
        <w:rPr>
          <w:lang w:val="uk-UA"/>
        </w:rPr>
        <w:t>1 577,2</w:t>
      </w:r>
      <w:r w:rsidRPr="00733689">
        <w:rPr>
          <w:lang w:val="uk-UA"/>
        </w:rPr>
        <w:t xml:space="preserve"> тис. грн., що становить </w:t>
      </w:r>
      <w:r>
        <w:rPr>
          <w:lang w:val="uk-UA"/>
        </w:rPr>
        <w:t xml:space="preserve">20,3 </w:t>
      </w:r>
      <w:r w:rsidRPr="00733689">
        <w:rPr>
          <w:lang w:val="uk-UA"/>
        </w:rPr>
        <w:t xml:space="preserve">% виконання плану. </w:t>
      </w:r>
    </w:p>
    <w:p w:rsidR="00A34082" w:rsidRPr="00733689" w:rsidRDefault="00A34082" w:rsidP="00A34082">
      <w:pPr>
        <w:ind w:firstLine="709"/>
        <w:jc w:val="both"/>
        <w:rPr>
          <w:lang w:val="uk-UA"/>
        </w:rPr>
      </w:pPr>
      <w:r w:rsidRPr="00733689">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w:t>
      </w:r>
      <w:r>
        <w:rPr>
          <w:lang w:val="uk-UA"/>
        </w:rPr>
        <w:t>1 878,2</w:t>
      </w:r>
      <w:r w:rsidRPr="00733689">
        <w:rPr>
          <w:lang w:val="uk-UA"/>
        </w:rPr>
        <w:t xml:space="preserve"> тис. грн. використано </w:t>
      </w:r>
      <w:r>
        <w:rPr>
          <w:lang w:val="uk-UA"/>
        </w:rPr>
        <w:t xml:space="preserve"> 451,9 </w:t>
      </w:r>
      <w:r w:rsidRPr="00733689">
        <w:rPr>
          <w:lang w:val="uk-UA"/>
        </w:rPr>
        <w:t xml:space="preserve">тис. грн., що становить </w:t>
      </w:r>
      <w:r>
        <w:rPr>
          <w:lang w:val="uk-UA"/>
        </w:rPr>
        <w:t xml:space="preserve">24,1 </w:t>
      </w:r>
      <w:r w:rsidRPr="00733689">
        <w:rPr>
          <w:lang w:val="uk-UA"/>
        </w:rPr>
        <w:t xml:space="preserve"> % виконання.</w:t>
      </w:r>
    </w:p>
    <w:p w:rsidR="00A34082" w:rsidRPr="00733689" w:rsidRDefault="00A34082" w:rsidP="00A34082">
      <w:pPr>
        <w:ind w:firstLine="709"/>
        <w:jc w:val="both"/>
        <w:rPr>
          <w:lang w:val="uk-UA"/>
        </w:rPr>
      </w:pPr>
      <w:r w:rsidRPr="00733689">
        <w:rPr>
          <w:lang w:val="uk-UA"/>
        </w:rPr>
        <w:t xml:space="preserve">За бюджетною програмою 1080 « Надання спеціальної освіти мистецькими школами » при плані </w:t>
      </w:r>
      <w:r>
        <w:rPr>
          <w:lang w:val="uk-UA"/>
        </w:rPr>
        <w:t>2 937,1</w:t>
      </w:r>
      <w:r w:rsidRPr="00733689">
        <w:rPr>
          <w:lang w:val="uk-UA"/>
        </w:rPr>
        <w:t xml:space="preserve"> тис. грн. використано </w:t>
      </w:r>
      <w:r>
        <w:rPr>
          <w:lang w:val="uk-UA"/>
        </w:rPr>
        <w:t>58,5</w:t>
      </w:r>
      <w:r w:rsidRPr="00733689">
        <w:rPr>
          <w:lang w:val="uk-UA"/>
        </w:rPr>
        <w:t xml:space="preserve"> тис. грн., виконання склало </w:t>
      </w:r>
      <w:r>
        <w:rPr>
          <w:lang w:val="uk-UA"/>
        </w:rPr>
        <w:t>2,0</w:t>
      </w:r>
      <w:r w:rsidRPr="00733689">
        <w:rPr>
          <w:lang w:val="uk-UA"/>
        </w:rPr>
        <w:t xml:space="preserve"> %.</w:t>
      </w:r>
    </w:p>
    <w:p w:rsidR="00A34082" w:rsidRPr="00733689" w:rsidRDefault="00A34082" w:rsidP="00A34082">
      <w:pPr>
        <w:ind w:firstLine="709"/>
        <w:jc w:val="both"/>
        <w:rPr>
          <w:lang w:val="uk-UA"/>
        </w:rPr>
      </w:pPr>
      <w:r w:rsidRPr="00733689">
        <w:rPr>
          <w:lang w:val="uk-UA"/>
        </w:rPr>
        <w:t>Кошти були спрямовані на покращення матеріально -технічної бази освітніх закладів, харчування дітей, оплату комунальних послуг та інші поточні видатки.</w:t>
      </w:r>
    </w:p>
    <w:p w:rsidR="00A34082" w:rsidRPr="005D07BC" w:rsidRDefault="00A34082" w:rsidP="00A34082">
      <w:pPr>
        <w:ind w:firstLine="709"/>
        <w:jc w:val="both"/>
        <w:rPr>
          <w:sz w:val="10"/>
          <w:szCs w:val="10"/>
          <w:lang w:val="uk-UA"/>
        </w:rPr>
      </w:pPr>
    </w:p>
    <w:p w:rsidR="00A34082" w:rsidRPr="00733689" w:rsidRDefault="00A34082" w:rsidP="00A34082">
      <w:pPr>
        <w:ind w:firstLine="709"/>
        <w:jc w:val="both"/>
        <w:rPr>
          <w:lang w:val="uk-UA"/>
        </w:rPr>
      </w:pPr>
      <w:r w:rsidRPr="00733689">
        <w:rPr>
          <w:lang w:val="uk-UA"/>
        </w:rPr>
        <w:t>Штатна чисельність працівників галузі «Освіта» станом на 31.03.2021 становить 2 155,39 од, а саме: в відділ культури, національностей та релігії Бучанської міської ради – 98,56 од. та в відділі освіти Бучанської міської ради – 2 056,83 од.</w:t>
      </w:r>
    </w:p>
    <w:p w:rsidR="009F6B13" w:rsidRDefault="00A34082" w:rsidP="00A34082">
      <w:pPr>
        <w:ind w:firstLine="709"/>
        <w:jc w:val="both"/>
        <w:rPr>
          <w:lang w:val="uk-UA"/>
        </w:rPr>
      </w:pPr>
      <w:r w:rsidRPr="00733689">
        <w:rPr>
          <w:lang w:val="uk-UA"/>
        </w:rPr>
        <w:t xml:space="preserve">Кредиторська заборгованість за вказаний період по даній галузі  складає 3 041,9 </w:t>
      </w:r>
    </w:p>
    <w:p w:rsidR="00A34082" w:rsidRPr="00EB12FA" w:rsidRDefault="00A34082" w:rsidP="00A34082">
      <w:pPr>
        <w:ind w:firstLine="709"/>
        <w:jc w:val="both"/>
        <w:rPr>
          <w:lang w:val="uk-UA"/>
        </w:rPr>
      </w:pPr>
      <w:r w:rsidRPr="00733689">
        <w:rPr>
          <w:lang w:val="uk-UA"/>
        </w:rPr>
        <w:t>тис.</w:t>
      </w:r>
      <w:r w:rsidR="009F6B13">
        <w:rPr>
          <w:lang w:val="uk-UA"/>
        </w:rPr>
        <w:t xml:space="preserve"> </w:t>
      </w:r>
      <w:r w:rsidRPr="00733689">
        <w:rPr>
          <w:lang w:val="uk-UA"/>
        </w:rPr>
        <w:t>грн. (по загальному фонду – виплата зарплати, термін сплати якої не настав, оплату теплопостачання, за предмети, матеріали, обладнання та інвентар, по спеціальному фонду – виплата заробітної плати з нарахуваннями).</w:t>
      </w:r>
    </w:p>
    <w:p w:rsidR="00B23D8C" w:rsidRDefault="00B23D8C" w:rsidP="00B23D8C">
      <w:pPr>
        <w:ind w:firstLine="709"/>
        <w:jc w:val="center"/>
        <w:rPr>
          <w:b/>
          <w:bCs/>
          <w:i/>
          <w:sz w:val="26"/>
          <w:szCs w:val="26"/>
          <w:u w:val="single"/>
          <w:lang w:val="uk-UA"/>
        </w:rPr>
      </w:pPr>
    </w:p>
    <w:p w:rsidR="001F1007" w:rsidRPr="00327287" w:rsidRDefault="001F1007" w:rsidP="001F1007">
      <w:pPr>
        <w:ind w:firstLine="709"/>
        <w:jc w:val="center"/>
        <w:rPr>
          <w:b/>
          <w:bCs/>
          <w:i/>
          <w:sz w:val="26"/>
          <w:szCs w:val="26"/>
          <w:u w:val="single"/>
          <w:lang w:val="uk-UA"/>
        </w:rPr>
      </w:pPr>
      <w:r w:rsidRPr="00327287">
        <w:rPr>
          <w:b/>
          <w:bCs/>
          <w:i/>
          <w:sz w:val="26"/>
          <w:szCs w:val="26"/>
          <w:u w:val="single"/>
          <w:lang w:val="uk-UA"/>
        </w:rPr>
        <w:t>2000 Охорона здоров’я</w:t>
      </w:r>
    </w:p>
    <w:p w:rsidR="00BE5A85" w:rsidRPr="00420F54" w:rsidRDefault="00BE5A85" w:rsidP="001F1007">
      <w:pPr>
        <w:ind w:firstLine="709"/>
        <w:jc w:val="center"/>
        <w:rPr>
          <w:b/>
          <w:bCs/>
          <w:i/>
          <w:sz w:val="16"/>
          <w:szCs w:val="16"/>
          <w:u w:val="single"/>
          <w:lang w:val="uk-UA"/>
        </w:rPr>
      </w:pPr>
    </w:p>
    <w:p w:rsidR="001C6985" w:rsidRPr="001C6985" w:rsidRDefault="001C6985" w:rsidP="001C6985">
      <w:pPr>
        <w:ind w:firstLine="567"/>
        <w:jc w:val="both"/>
        <w:rPr>
          <w:lang w:val="uk-UA"/>
        </w:rPr>
      </w:pPr>
      <w:r w:rsidRPr="001C6985">
        <w:t>З 2021 року видатки на оплату медичних послуг комунальним закладам охорони здоров’я за договорами з Національною службою здоров’я України щодо медичного обслуговування населення в рамках програми медичних гарантій відповідно до Закону України „Про державні фінансові гарантії медичного обслуговування населення”</w:t>
      </w:r>
      <w:r w:rsidRPr="001C6985">
        <w:rPr>
          <w:lang w:val="uk-UA"/>
        </w:rPr>
        <w:t xml:space="preserve"> здійсню</w:t>
      </w:r>
      <w:r w:rsidR="004D57FE">
        <w:rPr>
          <w:lang w:val="uk-UA"/>
        </w:rPr>
        <w:t>ю</w:t>
      </w:r>
      <w:r w:rsidRPr="001C6985">
        <w:rPr>
          <w:lang w:val="uk-UA"/>
        </w:rPr>
        <w:t>ться за рахунок коштів державного бюджету.</w:t>
      </w:r>
    </w:p>
    <w:p w:rsidR="001C6985" w:rsidRPr="001C6985" w:rsidRDefault="001C6985" w:rsidP="001C6985">
      <w:pPr>
        <w:ind w:firstLine="567"/>
        <w:jc w:val="both"/>
        <w:rPr>
          <w:lang w:val="uk-UA"/>
        </w:rPr>
      </w:pPr>
      <w:r w:rsidRPr="001C6985">
        <w:rPr>
          <w:lang w:val="uk-UA"/>
        </w:rPr>
        <w:t xml:space="preserve"> З бюджету Бучанської міської територіальної громади </w:t>
      </w:r>
      <w:r w:rsidR="002E4E18">
        <w:rPr>
          <w:lang w:val="uk-UA"/>
        </w:rPr>
        <w:t>проводяться</w:t>
      </w:r>
      <w:r w:rsidRPr="001C6985">
        <w:rPr>
          <w:lang w:val="uk-UA"/>
        </w:rPr>
        <w:t xml:space="preserve">  видатки на оплату комунальних послуг та енергоносіїв комунальних закладів охорони здоров’я, які належать Бучанській </w:t>
      </w:r>
      <w:r w:rsidR="00516FA7">
        <w:rPr>
          <w:lang w:val="uk-UA"/>
        </w:rPr>
        <w:t xml:space="preserve">міській </w:t>
      </w:r>
      <w:r w:rsidRPr="001C6985">
        <w:rPr>
          <w:lang w:val="uk-UA"/>
        </w:rPr>
        <w:t xml:space="preserve">територіальній громаді. </w:t>
      </w:r>
    </w:p>
    <w:p w:rsidR="001C6985" w:rsidRPr="001C6985" w:rsidRDefault="001C6985" w:rsidP="001C6985">
      <w:pPr>
        <w:ind w:firstLine="567"/>
        <w:jc w:val="both"/>
        <w:rPr>
          <w:lang w:val="uk-UA"/>
        </w:rPr>
      </w:pPr>
      <w:r w:rsidRPr="001C6985">
        <w:rPr>
          <w:lang w:val="uk-UA"/>
        </w:rPr>
        <w:t>В місцевому бюджеті галузь « Охорона здоров'я»  налічує 2 установи: комунальне некомерційне підприємство «Бучанський консультативно-діагностичний центр» Бучанської міської ради та комунальне некомерційне підприємство «Бучанський центр первинної медико-</w:t>
      </w:r>
      <w:r w:rsidRPr="001C6985">
        <w:rPr>
          <w:lang w:val="uk-UA"/>
        </w:rPr>
        <w:lastRenderedPageBreak/>
        <w:t>санітарної допомоги» Бучанської міської ради, яке включає в себе амбулаторії загал</w:t>
      </w:r>
      <w:r w:rsidR="003330B3">
        <w:rPr>
          <w:lang w:val="uk-UA"/>
        </w:rPr>
        <w:t>ьної практики сімейної медицини, які знаходяться в населених пунктах громади</w:t>
      </w:r>
      <w:r w:rsidRPr="001C6985">
        <w:rPr>
          <w:lang w:val="uk-UA"/>
        </w:rPr>
        <w:t>.</w:t>
      </w:r>
    </w:p>
    <w:p w:rsidR="00A31234" w:rsidRDefault="001C6985" w:rsidP="00A31234">
      <w:pPr>
        <w:ind w:firstLine="851"/>
        <w:jc w:val="both"/>
        <w:rPr>
          <w:lang w:val="uk-UA"/>
        </w:rPr>
      </w:pPr>
      <w:r w:rsidRPr="001C6985">
        <w:rPr>
          <w:lang w:val="uk-UA"/>
        </w:rPr>
        <w:t>З метою забезпечення видатків на проведення місцевих програм, функціонування установ охорони здоров’я та підтримки комунальних некомерційни</w:t>
      </w:r>
      <w:r w:rsidR="00DB7A8A">
        <w:rPr>
          <w:lang w:val="uk-UA"/>
        </w:rPr>
        <w:t xml:space="preserve">х підприємств охорони здоров’я з </w:t>
      </w:r>
      <w:r w:rsidRPr="001C6985">
        <w:rPr>
          <w:lang w:val="uk-UA"/>
        </w:rPr>
        <w:t>бюджет</w:t>
      </w:r>
      <w:r w:rsidR="00DB7A8A">
        <w:rPr>
          <w:lang w:val="uk-UA"/>
        </w:rPr>
        <w:t>у</w:t>
      </w:r>
      <w:r w:rsidRPr="001C6985">
        <w:rPr>
          <w:lang w:val="uk-UA"/>
        </w:rPr>
        <w:t xml:space="preserve"> Бучанської міської територіальної громади </w:t>
      </w:r>
      <w:r w:rsidR="00DB7A8A">
        <w:rPr>
          <w:lang w:val="uk-UA"/>
        </w:rPr>
        <w:t>з</w:t>
      </w:r>
      <w:r w:rsidRPr="001C6985">
        <w:rPr>
          <w:lang w:val="uk-UA"/>
        </w:rPr>
        <w:t xml:space="preserve">а </w:t>
      </w:r>
      <w:r w:rsidR="00DB7A8A">
        <w:rPr>
          <w:lang w:val="en-US"/>
        </w:rPr>
        <w:t>I</w:t>
      </w:r>
      <w:r w:rsidR="00DB7A8A" w:rsidRPr="00DB7A8A">
        <w:rPr>
          <w:lang w:val="uk-UA"/>
        </w:rPr>
        <w:t xml:space="preserve"> </w:t>
      </w:r>
      <w:r w:rsidR="00DB7A8A">
        <w:rPr>
          <w:lang w:val="uk-UA"/>
        </w:rPr>
        <w:t xml:space="preserve">квартал </w:t>
      </w:r>
      <w:r w:rsidRPr="001C6985">
        <w:rPr>
          <w:lang w:val="uk-UA"/>
        </w:rPr>
        <w:t>2021 р</w:t>
      </w:r>
      <w:r w:rsidR="00DB7A8A">
        <w:rPr>
          <w:lang w:val="uk-UA"/>
        </w:rPr>
        <w:t>о</w:t>
      </w:r>
      <w:r w:rsidRPr="001C6985">
        <w:rPr>
          <w:lang w:val="uk-UA"/>
        </w:rPr>
        <w:t>к</w:t>
      </w:r>
      <w:r w:rsidR="00DB7A8A">
        <w:rPr>
          <w:lang w:val="uk-UA"/>
        </w:rPr>
        <w:t>у</w:t>
      </w:r>
      <w:r w:rsidRPr="001C6985">
        <w:rPr>
          <w:lang w:val="uk-UA"/>
        </w:rPr>
        <w:t xml:space="preserve"> </w:t>
      </w:r>
      <w:r w:rsidR="00D04B3A" w:rsidRPr="00DA2647">
        <w:rPr>
          <w:lang w:val="uk-UA"/>
        </w:rPr>
        <w:t>виконання плану по загальному фонду складає 4</w:t>
      </w:r>
      <w:r w:rsidR="00F46238">
        <w:rPr>
          <w:lang w:val="uk-UA"/>
        </w:rPr>
        <w:t>3,7</w:t>
      </w:r>
      <w:r w:rsidR="00D04B3A" w:rsidRPr="00DA2647">
        <w:rPr>
          <w:lang w:val="uk-UA"/>
        </w:rPr>
        <w:t xml:space="preserve">% ( уточнений план </w:t>
      </w:r>
      <w:r w:rsidR="00F46238">
        <w:rPr>
          <w:lang w:val="uk-UA"/>
        </w:rPr>
        <w:t>2 303,4</w:t>
      </w:r>
      <w:r w:rsidR="00D04B3A" w:rsidRPr="00DA2647">
        <w:rPr>
          <w:lang w:val="uk-UA"/>
        </w:rPr>
        <w:t xml:space="preserve"> тис. грн, касові видатки </w:t>
      </w:r>
      <w:r w:rsidR="00F46238">
        <w:rPr>
          <w:lang w:val="uk-UA"/>
        </w:rPr>
        <w:t>1 005,8</w:t>
      </w:r>
      <w:r w:rsidR="00D04B3A" w:rsidRPr="00DA2647">
        <w:rPr>
          <w:lang w:val="uk-UA"/>
        </w:rPr>
        <w:t xml:space="preserve"> тис</w:t>
      </w:r>
      <w:r w:rsidR="00D04B3A">
        <w:rPr>
          <w:lang w:val="uk-UA"/>
        </w:rPr>
        <w:t xml:space="preserve">. грн), по спеціальному фонду </w:t>
      </w:r>
      <w:r w:rsidR="00F46238">
        <w:rPr>
          <w:lang w:val="uk-UA"/>
        </w:rPr>
        <w:t xml:space="preserve"> 99%</w:t>
      </w:r>
      <w:r w:rsidR="00D04B3A" w:rsidRPr="00DA2647">
        <w:rPr>
          <w:lang w:val="uk-UA"/>
        </w:rPr>
        <w:t xml:space="preserve"> ( уточнений план </w:t>
      </w:r>
      <w:r w:rsidR="00F46238">
        <w:rPr>
          <w:lang w:val="uk-UA"/>
        </w:rPr>
        <w:t>1 667,2</w:t>
      </w:r>
      <w:r w:rsidR="00D04B3A" w:rsidRPr="00DA2647">
        <w:rPr>
          <w:lang w:val="uk-UA"/>
        </w:rPr>
        <w:t xml:space="preserve"> тис. грн,  касові складають </w:t>
      </w:r>
      <w:r w:rsidR="00F46238">
        <w:rPr>
          <w:lang w:val="uk-UA"/>
        </w:rPr>
        <w:t>1 650,0</w:t>
      </w:r>
      <w:r w:rsidR="00D04B3A" w:rsidRPr="00DA2647">
        <w:rPr>
          <w:lang w:val="uk-UA"/>
        </w:rPr>
        <w:t xml:space="preserve"> тис. грн).</w:t>
      </w:r>
      <w:r w:rsidR="00A31234" w:rsidRPr="00A31234">
        <w:rPr>
          <w:lang w:val="uk-UA"/>
        </w:rPr>
        <w:t xml:space="preserve"> </w:t>
      </w:r>
      <w:r w:rsidR="00A31234" w:rsidRPr="009A12E0">
        <w:rPr>
          <w:lang w:val="uk-UA"/>
        </w:rPr>
        <w:t>Відповідно до минулого періоду 2020 року видатки загального фонду з</w:t>
      </w:r>
      <w:r w:rsidR="00A31234">
        <w:rPr>
          <w:lang w:val="uk-UA"/>
        </w:rPr>
        <w:t>менш</w:t>
      </w:r>
      <w:r w:rsidR="00A31234" w:rsidRPr="009A12E0">
        <w:rPr>
          <w:lang w:val="uk-UA"/>
        </w:rPr>
        <w:t xml:space="preserve">ені на </w:t>
      </w:r>
      <w:r w:rsidR="00A31234">
        <w:rPr>
          <w:lang w:val="uk-UA"/>
        </w:rPr>
        <w:t>8 315,0</w:t>
      </w:r>
      <w:r w:rsidR="00A31234" w:rsidRPr="009A12E0">
        <w:rPr>
          <w:lang w:val="uk-UA"/>
        </w:rPr>
        <w:t xml:space="preserve"> тис. грн., або на </w:t>
      </w:r>
      <w:r w:rsidR="00A31234">
        <w:rPr>
          <w:lang w:val="uk-UA"/>
        </w:rPr>
        <w:t>89,2</w:t>
      </w:r>
      <w:r w:rsidR="00A31234" w:rsidRPr="009A12E0">
        <w:rPr>
          <w:lang w:val="uk-UA"/>
        </w:rPr>
        <w:t xml:space="preserve"> %. </w:t>
      </w:r>
      <w:r w:rsidR="00A31234">
        <w:rPr>
          <w:lang w:val="uk-UA"/>
        </w:rPr>
        <w:t>Зменшення видаткової частини зумовлено відсутністю медичної субвенції з державного бюджету</w:t>
      </w:r>
      <w:r w:rsidR="00B026B4">
        <w:rPr>
          <w:lang w:val="uk-UA"/>
        </w:rPr>
        <w:t xml:space="preserve">. </w:t>
      </w:r>
      <w:r w:rsidR="00A31234" w:rsidRPr="001852EF">
        <w:rPr>
          <w:lang w:val="uk-UA"/>
        </w:rPr>
        <w:t>Видатки спеціального фонду з</w:t>
      </w:r>
      <w:r w:rsidR="003D3C19">
        <w:rPr>
          <w:lang w:val="uk-UA"/>
        </w:rPr>
        <w:t>більшені</w:t>
      </w:r>
      <w:r w:rsidR="00A31234" w:rsidRPr="001852EF">
        <w:rPr>
          <w:lang w:val="uk-UA"/>
        </w:rPr>
        <w:t xml:space="preserve"> на </w:t>
      </w:r>
      <w:r w:rsidR="00A31234">
        <w:rPr>
          <w:lang w:val="uk-UA"/>
        </w:rPr>
        <w:t>1</w:t>
      </w:r>
      <w:r w:rsidR="003D3C19">
        <w:rPr>
          <w:lang w:val="uk-UA"/>
        </w:rPr>
        <w:t> 295,0</w:t>
      </w:r>
      <w:r w:rsidR="00A31234">
        <w:rPr>
          <w:lang w:val="uk-UA"/>
        </w:rPr>
        <w:t xml:space="preserve"> </w:t>
      </w:r>
      <w:r w:rsidR="00A31234" w:rsidRPr="001852EF">
        <w:rPr>
          <w:lang w:val="uk-UA"/>
        </w:rPr>
        <w:t xml:space="preserve">тис. грн, або </w:t>
      </w:r>
      <w:r w:rsidR="003D3C19">
        <w:rPr>
          <w:lang w:val="uk-UA"/>
        </w:rPr>
        <w:t>у 4,6 разів.</w:t>
      </w:r>
      <w:r w:rsidR="00A31234" w:rsidRPr="001852EF">
        <w:rPr>
          <w:lang w:val="uk-UA"/>
        </w:rPr>
        <w:t xml:space="preserve">  </w:t>
      </w:r>
      <w:r w:rsidR="00A31234" w:rsidRPr="00D767D7">
        <w:rPr>
          <w:lang w:val="uk-UA"/>
        </w:rPr>
        <w:t>З</w:t>
      </w:r>
      <w:r w:rsidR="003D3C19">
        <w:rPr>
          <w:lang w:val="uk-UA"/>
        </w:rPr>
        <w:t>більше</w:t>
      </w:r>
      <w:r w:rsidR="00A31234" w:rsidRPr="00D767D7">
        <w:rPr>
          <w:lang w:val="uk-UA"/>
        </w:rPr>
        <w:t xml:space="preserve">ння видатків спеціального фонду обумовлено </w:t>
      </w:r>
      <w:r w:rsidR="003D3C19">
        <w:rPr>
          <w:lang w:val="uk-UA"/>
        </w:rPr>
        <w:t>придбанням дороговартісного обладнання ( цифров</w:t>
      </w:r>
      <w:r w:rsidR="007166CE">
        <w:rPr>
          <w:lang w:val="uk-UA"/>
        </w:rPr>
        <w:t>ого</w:t>
      </w:r>
      <w:r w:rsidR="003D3C19">
        <w:rPr>
          <w:lang w:val="uk-UA"/>
        </w:rPr>
        <w:t xml:space="preserve"> перетворювач</w:t>
      </w:r>
      <w:r w:rsidR="007166CE">
        <w:rPr>
          <w:lang w:val="uk-UA"/>
        </w:rPr>
        <w:t>а</w:t>
      </w:r>
      <w:r w:rsidR="003D3C19">
        <w:rPr>
          <w:lang w:val="uk-UA"/>
        </w:rPr>
        <w:t xml:space="preserve"> до</w:t>
      </w:r>
      <w:r w:rsidR="006E4F29">
        <w:rPr>
          <w:lang w:val="uk-UA"/>
        </w:rPr>
        <w:t xml:space="preserve"> </w:t>
      </w:r>
      <w:r w:rsidR="003D3C19">
        <w:rPr>
          <w:lang w:val="uk-UA"/>
        </w:rPr>
        <w:t xml:space="preserve">мамографа). </w:t>
      </w:r>
    </w:p>
    <w:p w:rsidR="001C6985" w:rsidRPr="001C6985" w:rsidRDefault="00E91383" w:rsidP="00294880">
      <w:pPr>
        <w:ind w:firstLine="567"/>
        <w:jc w:val="both"/>
        <w:rPr>
          <w:lang w:val="uk-UA"/>
        </w:rPr>
      </w:pPr>
      <w:r>
        <w:rPr>
          <w:lang w:val="uk-UA"/>
        </w:rPr>
        <w:t xml:space="preserve"> З</w:t>
      </w:r>
      <w:r w:rsidR="001C6985" w:rsidRPr="001C6985">
        <w:rPr>
          <w:lang w:val="uk-UA"/>
        </w:rPr>
        <w:t>а бюджетною програмою 2111 « Первинна медична допомога населенню, що надається центрами первинної медичної(медико-санітарної) допомоги</w:t>
      </w:r>
      <w:r>
        <w:rPr>
          <w:lang w:val="uk-UA"/>
        </w:rPr>
        <w:t xml:space="preserve"> » використано 288,9</w:t>
      </w:r>
      <w:r w:rsidR="001C6985" w:rsidRPr="001C6985">
        <w:rPr>
          <w:lang w:val="uk-UA"/>
        </w:rPr>
        <w:t xml:space="preserve"> тис. грн. </w:t>
      </w:r>
      <w:r>
        <w:rPr>
          <w:lang w:val="uk-UA"/>
        </w:rPr>
        <w:t>пр</w:t>
      </w:r>
      <w:r w:rsidR="00B130A1">
        <w:rPr>
          <w:lang w:val="uk-UA"/>
        </w:rPr>
        <w:t>и</w:t>
      </w:r>
      <w:r>
        <w:rPr>
          <w:lang w:val="uk-UA"/>
        </w:rPr>
        <w:t xml:space="preserve"> плані відповідного періоду 1 069,4 тис. грн. </w:t>
      </w:r>
      <w:r w:rsidR="001C6985" w:rsidRPr="001C6985">
        <w:rPr>
          <w:lang w:val="uk-UA"/>
        </w:rPr>
        <w:t>( на оплату комунальних послуг та енергоносіїв</w:t>
      </w:r>
      <w:r w:rsidR="002A1909">
        <w:rPr>
          <w:lang w:val="uk-UA"/>
        </w:rPr>
        <w:t>, на пільгові рецепти та придбання лікарських засобів</w:t>
      </w:r>
      <w:r w:rsidR="00A82473">
        <w:rPr>
          <w:lang w:val="uk-UA"/>
        </w:rPr>
        <w:t>), виконання плану становить 27%.</w:t>
      </w:r>
      <w:r w:rsidR="001C6985" w:rsidRPr="001C6985">
        <w:rPr>
          <w:lang w:val="uk-UA"/>
        </w:rPr>
        <w:t xml:space="preserve"> </w:t>
      </w:r>
    </w:p>
    <w:p w:rsidR="001C6985" w:rsidRPr="00734486" w:rsidRDefault="001C6985" w:rsidP="001C6985">
      <w:pPr>
        <w:ind w:firstLine="567"/>
        <w:rPr>
          <w:lang w:val="uk-UA"/>
        </w:rPr>
      </w:pPr>
      <w:r w:rsidRPr="00734486">
        <w:rPr>
          <w:lang w:val="uk-UA"/>
        </w:rPr>
        <w:t xml:space="preserve">До структури </w:t>
      </w:r>
      <w:r w:rsidR="00B553B4" w:rsidRPr="00734486">
        <w:rPr>
          <w:lang w:val="uk-UA"/>
        </w:rPr>
        <w:t xml:space="preserve">первинної ланки </w:t>
      </w:r>
      <w:r w:rsidRPr="00734486">
        <w:rPr>
          <w:lang w:val="uk-UA"/>
        </w:rPr>
        <w:t xml:space="preserve">входять:     </w:t>
      </w:r>
    </w:p>
    <w:p w:rsidR="001C6985" w:rsidRDefault="001C6985" w:rsidP="001C6985">
      <w:pPr>
        <w:rPr>
          <w:lang w:val="uk-UA"/>
        </w:rPr>
      </w:pPr>
      <w:r w:rsidRPr="00734486">
        <w:rPr>
          <w:lang w:val="uk-UA"/>
        </w:rPr>
        <w:t xml:space="preserve">  - Амбулаторія групової практики №</w:t>
      </w:r>
      <w:r w:rsidR="00565554">
        <w:rPr>
          <w:lang w:val="uk-UA"/>
        </w:rPr>
        <w:t xml:space="preserve"> </w:t>
      </w:r>
      <w:r w:rsidRPr="00734486">
        <w:rPr>
          <w:lang w:val="uk-UA"/>
        </w:rPr>
        <w:t>1</w:t>
      </w:r>
      <w:r w:rsidR="000A6639" w:rsidRPr="00734486">
        <w:rPr>
          <w:lang w:val="uk-UA"/>
        </w:rPr>
        <w:t xml:space="preserve"> </w:t>
      </w:r>
      <w:r w:rsidRPr="00734486">
        <w:rPr>
          <w:lang w:val="uk-UA"/>
        </w:rPr>
        <w:t xml:space="preserve">м. Буча </w:t>
      </w:r>
      <w:r w:rsidR="00734486" w:rsidRPr="00734486">
        <w:rPr>
          <w:lang w:val="uk-UA"/>
        </w:rPr>
        <w:t>, бульвар Богдана Хмельницького, 2</w:t>
      </w:r>
      <w:r w:rsidRPr="00734486">
        <w:rPr>
          <w:lang w:val="uk-UA"/>
        </w:rPr>
        <w:t xml:space="preserve">; </w:t>
      </w:r>
    </w:p>
    <w:p w:rsidR="00BE5D39" w:rsidRPr="00734486" w:rsidRDefault="00BE5D39" w:rsidP="001C6985">
      <w:pPr>
        <w:rPr>
          <w:lang w:val="uk-UA"/>
        </w:rPr>
      </w:pPr>
      <w:r>
        <w:rPr>
          <w:lang w:val="uk-UA"/>
        </w:rPr>
        <w:t xml:space="preserve"> -  Амбулаторія групової практики № 2 м. Буча, вул. Польова, 21/10;</w:t>
      </w:r>
    </w:p>
    <w:p w:rsidR="001C6985" w:rsidRPr="00D949CA" w:rsidRDefault="001C6985" w:rsidP="001C6985">
      <w:pPr>
        <w:rPr>
          <w:lang w:val="uk-UA"/>
        </w:rPr>
      </w:pPr>
      <w:r w:rsidRPr="00EE2D8F">
        <w:rPr>
          <w:color w:val="FF0000"/>
          <w:lang w:val="uk-UA"/>
        </w:rPr>
        <w:t xml:space="preserve">  </w:t>
      </w:r>
      <w:r w:rsidRPr="00D949CA">
        <w:rPr>
          <w:lang w:val="uk-UA"/>
        </w:rPr>
        <w:t>- Амбулаторія загальної практики – сімейної медицини №3 м. Буча</w:t>
      </w:r>
      <w:r w:rsidR="00D949CA" w:rsidRPr="00D949CA">
        <w:rPr>
          <w:lang w:val="uk-UA"/>
        </w:rPr>
        <w:t xml:space="preserve">, вул. </w:t>
      </w:r>
      <w:r w:rsidR="008F59F7">
        <w:rPr>
          <w:lang w:val="uk-UA"/>
        </w:rPr>
        <w:t>Склозаводська, 7</w:t>
      </w:r>
      <w:r w:rsidRPr="00D949CA">
        <w:rPr>
          <w:lang w:val="uk-UA"/>
        </w:rPr>
        <w:t xml:space="preserve">; </w:t>
      </w:r>
    </w:p>
    <w:p w:rsidR="001C6985" w:rsidRPr="00565554" w:rsidRDefault="001C6985" w:rsidP="001C6985">
      <w:pPr>
        <w:rPr>
          <w:lang w:val="uk-UA"/>
        </w:rPr>
      </w:pPr>
      <w:r w:rsidRPr="00565554">
        <w:rPr>
          <w:lang w:val="uk-UA"/>
        </w:rPr>
        <w:t xml:space="preserve">  - Амбулаторія загальної практики – сімейної медицини №</w:t>
      </w:r>
      <w:r w:rsidR="00565554" w:rsidRPr="00565554">
        <w:rPr>
          <w:lang w:val="uk-UA"/>
        </w:rPr>
        <w:t xml:space="preserve"> </w:t>
      </w:r>
      <w:r w:rsidRPr="00565554">
        <w:rPr>
          <w:lang w:val="uk-UA"/>
        </w:rPr>
        <w:t>4 м. Буча</w:t>
      </w:r>
      <w:r w:rsidR="00565554" w:rsidRPr="00565554">
        <w:rPr>
          <w:lang w:val="uk-UA"/>
        </w:rPr>
        <w:t>, вул. Бориса Гмирі, 11/5</w:t>
      </w:r>
      <w:r w:rsidRPr="00565554">
        <w:rPr>
          <w:lang w:val="uk-UA"/>
        </w:rPr>
        <w:t xml:space="preserve">; </w:t>
      </w:r>
    </w:p>
    <w:p w:rsidR="001C6985" w:rsidRPr="005B621E" w:rsidRDefault="001C6985" w:rsidP="001C6985">
      <w:pPr>
        <w:rPr>
          <w:lang w:val="uk-UA"/>
        </w:rPr>
      </w:pPr>
      <w:r w:rsidRPr="00EE2D8F">
        <w:rPr>
          <w:color w:val="FF0000"/>
          <w:lang w:val="uk-UA"/>
        </w:rPr>
        <w:t xml:space="preserve">  </w:t>
      </w:r>
      <w:r w:rsidRPr="005B621E">
        <w:rPr>
          <w:lang w:val="uk-UA"/>
        </w:rPr>
        <w:t>- Амбулаторія загальної практики – сімейної медицини №</w:t>
      </w:r>
      <w:r w:rsidR="005B621E" w:rsidRPr="005B621E">
        <w:rPr>
          <w:lang w:val="uk-UA"/>
        </w:rPr>
        <w:t xml:space="preserve"> </w:t>
      </w:r>
      <w:r w:rsidRPr="005B621E">
        <w:rPr>
          <w:lang w:val="uk-UA"/>
        </w:rPr>
        <w:t>5 м. Буча</w:t>
      </w:r>
      <w:r w:rsidR="005B621E" w:rsidRPr="005B621E">
        <w:rPr>
          <w:lang w:val="uk-UA"/>
        </w:rPr>
        <w:t xml:space="preserve"> вул. Катерини Білокур,1А</w:t>
      </w:r>
      <w:r w:rsidRPr="005B621E">
        <w:rPr>
          <w:lang w:val="uk-UA"/>
        </w:rPr>
        <w:t xml:space="preserve"> ; </w:t>
      </w:r>
    </w:p>
    <w:p w:rsidR="001C6985" w:rsidRPr="005B621E" w:rsidRDefault="001C6985" w:rsidP="001C6985">
      <w:pPr>
        <w:rPr>
          <w:lang w:val="uk-UA"/>
        </w:rPr>
      </w:pPr>
      <w:r w:rsidRPr="005B621E">
        <w:rPr>
          <w:lang w:val="uk-UA"/>
        </w:rPr>
        <w:t xml:space="preserve">  - Черговий кабінет м. Буча</w:t>
      </w:r>
      <w:r w:rsidR="005B621E" w:rsidRPr="005B621E">
        <w:rPr>
          <w:lang w:val="uk-UA"/>
        </w:rPr>
        <w:t>, вул. Нове Шосе, 5.</w:t>
      </w:r>
      <w:r w:rsidRPr="005B621E">
        <w:rPr>
          <w:lang w:val="uk-UA"/>
        </w:rPr>
        <w:t xml:space="preserve"> </w:t>
      </w:r>
    </w:p>
    <w:p w:rsidR="001C6985" w:rsidRPr="001C6985" w:rsidRDefault="001C6985" w:rsidP="001C6985">
      <w:pPr>
        <w:rPr>
          <w:lang w:val="uk-UA"/>
        </w:rPr>
      </w:pPr>
      <w:r w:rsidRPr="001C6985">
        <w:rPr>
          <w:lang w:val="uk-UA"/>
        </w:rPr>
        <w:t xml:space="preserve">  - Блиставицька амбулаторія загальної практики – сімейної медицини ; </w:t>
      </w:r>
    </w:p>
    <w:p w:rsidR="001C6985" w:rsidRPr="001C6985" w:rsidRDefault="001C6985" w:rsidP="001C6985">
      <w:pPr>
        <w:rPr>
          <w:lang w:val="uk-UA"/>
        </w:rPr>
      </w:pPr>
      <w:r w:rsidRPr="001C6985">
        <w:rPr>
          <w:lang w:val="uk-UA"/>
        </w:rPr>
        <w:t xml:space="preserve">  - </w:t>
      </w:r>
      <w:r w:rsidR="0009149D" w:rsidRPr="001C6985">
        <w:rPr>
          <w:lang w:val="uk-UA"/>
        </w:rPr>
        <w:t>Луб҆янська</w:t>
      </w:r>
      <w:r w:rsidRPr="001C6985">
        <w:rPr>
          <w:lang w:val="uk-UA"/>
        </w:rPr>
        <w:t xml:space="preserve"> амбулаторія загальної практики – сімейної медицини ; </w:t>
      </w:r>
    </w:p>
    <w:p w:rsidR="001C6985" w:rsidRPr="001C6985" w:rsidRDefault="001C6985" w:rsidP="001C6985">
      <w:pPr>
        <w:rPr>
          <w:lang w:val="uk-UA"/>
        </w:rPr>
      </w:pPr>
      <w:r w:rsidRPr="001C6985">
        <w:rPr>
          <w:lang w:val="uk-UA"/>
        </w:rPr>
        <w:t xml:space="preserve">  - Гаврилівська амбулаторія загальної практики – сімейної медицини; </w:t>
      </w:r>
    </w:p>
    <w:p w:rsidR="001C6985" w:rsidRPr="001C6985" w:rsidRDefault="001C6985" w:rsidP="001C6985">
      <w:pPr>
        <w:rPr>
          <w:lang w:val="uk-UA"/>
        </w:rPr>
      </w:pPr>
      <w:r w:rsidRPr="001C6985">
        <w:rPr>
          <w:lang w:val="uk-UA"/>
        </w:rPr>
        <w:t xml:space="preserve">  - Фельд</w:t>
      </w:r>
      <w:r w:rsidR="0009149D">
        <w:rPr>
          <w:lang w:val="uk-UA"/>
        </w:rPr>
        <w:t>шерський пункт в с. Тарасівщина</w:t>
      </w:r>
      <w:r w:rsidRPr="001C6985">
        <w:rPr>
          <w:lang w:val="uk-UA"/>
        </w:rPr>
        <w:t>;</w:t>
      </w:r>
    </w:p>
    <w:p w:rsidR="001C6985" w:rsidRPr="001C6985" w:rsidRDefault="001C6985" w:rsidP="001C6985">
      <w:pPr>
        <w:rPr>
          <w:lang w:val="uk-UA"/>
        </w:rPr>
      </w:pPr>
      <w:r w:rsidRPr="001C6985">
        <w:rPr>
          <w:lang w:val="uk-UA"/>
        </w:rPr>
        <w:t xml:space="preserve">  - Синяківська амбулаторія загальної практики - сімейної медицини;</w:t>
      </w:r>
    </w:p>
    <w:p w:rsidR="001C6985" w:rsidRPr="001C6985" w:rsidRDefault="001C6985" w:rsidP="001C6985">
      <w:pPr>
        <w:rPr>
          <w:lang w:val="uk-UA"/>
        </w:rPr>
      </w:pPr>
      <w:r w:rsidRPr="001C6985">
        <w:rPr>
          <w:lang w:val="uk-UA"/>
        </w:rPr>
        <w:t xml:space="preserve">  - Ворзельська амбулаторія загальної практики - сімейної медицини ;</w:t>
      </w:r>
    </w:p>
    <w:p w:rsidR="001C6985" w:rsidRPr="001C6985" w:rsidRDefault="001C6985" w:rsidP="001C6985">
      <w:pPr>
        <w:rPr>
          <w:lang w:val="uk-UA"/>
        </w:rPr>
      </w:pPr>
      <w:r w:rsidRPr="001C6985">
        <w:rPr>
          <w:lang w:val="uk-UA"/>
        </w:rPr>
        <w:t xml:space="preserve">  - Мироцька амбулаторія загальн</w:t>
      </w:r>
      <w:r w:rsidR="0009149D">
        <w:rPr>
          <w:lang w:val="uk-UA"/>
        </w:rPr>
        <w:t>ої практики - сімейної медицини</w:t>
      </w:r>
      <w:r w:rsidRPr="001C6985">
        <w:rPr>
          <w:lang w:val="uk-UA"/>
        </w:rPr>
        <w:t>;</w:t>
      </w:r>
    </w:p>
    <w:p w:rsidR="001C6985" w:rsidRPr="001C6985" w:rsidRDefault="001C6985" w:rsidP="001C6985">
      <w:pPr>
        <w:rPr>
          <w:lang w:val="uk-UA"/>
        </w:rPr>
      </w:pPr>
      <w:r w:rsidRPr="001C6985">
        <w:rPr>
          <w:lang w:val="uk-UA"/>
        </w:rPr>
        <w:t xml:space="preserve">  - Здвижівська амбулаторія загальної практики сімейної медицини ;</w:t>
      </w:r>
    </w:p>
    <w:p w:rsidR="001C6985" w:rsidRPr="001C6985" w:rsidRDefault="001C6985" w:rsidP="001C6985">
      <w:pPr>
        <w:rPr>
          <w:lang w:val="uk-UA"/>
        </w:rPr>
      </w:pPr>
      <w:r w:rsidRPr="001C6985">
        <w:rPr>
          <w:lang w:val="uk-UA"/>
        </w:rPr>
        <w:t xml:space="preserve">  - Бабинецька амбулаторія загальної практики сімейної ме</w:t>
      </w:r>
      <w:r w:rsidR="0009149D">
        <w:rPr>
          <w:lang w:val="uk-UA"/>
        </w:rPr>
        <w:t>дицини</w:t>
      </w:r>
      <w:r w:rsidRPr="001C6985">
        <w:rPr>
          <w:lang w:val="uk-UA"/>
        </w:rPr>
        <w:t>.</w:t>
      </w:r>
    </w:p>
    <w:p w:rsidR="00A82473" w:rsidRDefault="00472871" w:rsidP="001C6985">
      <w:pPr>
        <w:ind w:firstLine="567"/>
        <w:jc w:val="both"/>
        <w:rPr>
          <w:lang w:val="uk-UA"/>
        </w:rPr>
      </w:pPr>
      <w:r>
        <w:rPr>
          <w:lang w:val="uk-UA"/>
        </w:rPr>
        <w:t>З</w:t>
      </w:r>
      <w:r w:rsidR="001C6985" w:rsidRPr="001C6985">
        <w:rPr>
          <w:lang w:val="uk-UA"/>
        </w:rPr>
        <w:t>а бюджетною програмою 2080 «Амбулаторно- поліклінічна допомога населенню</w:t>
      </w:r>
      <w:r>
        <w:rPr>
          <w:lang w:val="uk-UA"/>
        </w:rPr>
        <w:t xml:space="preserve">, крім первинної медичної допомоги </w:t>
      </w:r>
      <w:r w:rsidR="001C6985" w:rsidRPr="001C6985">
        <w:rPr>
          <w:lang w:val="uk-UA"/>
        </w:rPr>
        <w:t xml:space="preserve">» </w:t>
      </w:r>
      <w:r w:rsidR="00A82473">
        <w:rPr>
          <w:lang w:val="uk-UA"/>
        </w:rPr>
        <w:t>по загальному фонду</w:t>
      </w:r>
      <w:r w:rsidR="001C6985" w:rsidRPr="001C6985">
        <w:rPr>
          <w:lang w:val="uk-UA"/>
        </w:rPr>
        <w:t xml:space="preserve"> </w:t>
      </w:r>
      <w:r w:rsidR="00A82473">
        <w:rPr>
          <w:lang w:val="uk-UA"/>
        </w:rPr>
        <w:t>використано 225,7</w:t>
      </w:r>
      <w:r w:rsidR="001C6985" w:rsidRPr="001C6985">
        <w:rPr>
          <w:lang w:val="uk-UA"/>
        </w:rPr>
        <w:t xml:space="preserve">тис. грн. </w:t>
      </w:r>
      <w:r w:rsidR="00A82473">
        <w:rPr>
          <w:lang w:val="uk-UA"/>
        </w:rPr>
        <w:t xml:space="preserve">при плані відповідного періоду 681,5 тис. грн </w:t>
      </w:r>
      <w:r w:rsidR="001C6985" w:rsidRPr="001C6985">
        <w:rPr>
          <w:lang w:val="uk-UA"/>
        </w:rPr>
        <w:t>(на оплату комунальних послуг та енергоносіїв</w:t>
      </w:r>
      <w:r w:rsidR="00A82473">
        <w:rPr>
          <w:lang w:val="uk-UA"/>
        </w:rPr>
        <w:t xml:space="preserve">, на пільгові рецепти та придбання ліків), виконання плану становить 37,5%. По спеціальному фонду бюджету виконання становить 99% ( план відповідного періоду </w:t>
      </w:r>
      <w:r w:rsidR="003B7FC6">
        <w:rPr>
          <w:lang w:val="uk-UA"/>
        </w:rPr>
        <w:t xml:space="preserve">1 667,2 тис. грн., касові видатки 1 650,0 тис. грн). </w:t>
      </w:r>
    </w:p>
    <w:p w:rsidR="001C6985" w:rsidRPr="001C6985" w:rsidRDefault="001C6985" w:rsidP="001C6985">
      <w:pPr>
        <w:ind w:firstLine="567"/>
        <w:jc w:val="both"/>
        <w:rPr>
          <w:lang w:val="uk-UA"/>
        </w:rPr>
      </w:pPr>
      <w:r w:rsidRPr="001C6985">
        <w:rPr>
          <w:lang w:val="uk-UA"/>
        </w:rPr>
        <w:t xml:space="preserve">До структури </w:t>
      </w:r>
      <w:r w:rsidR="00B81339">
        <w:rPr>
          <w:lang w:val="uk-UA"/>
        </w:rPr>
        <w:t xml:space="preserve">вторинної ланки </w:t>
      </w:r>
      <w:r w:rsidRPr="001C6985">
        <w:rPr>
          <w:lang w:val="uk-UA"/>
        </w:rPr>
        <w:t>входять:</w:t>
      </w:r>
    </w:p>
    <w:p w:rsidR="001C6985" w:rsidRPr="00F470B5" w:rsidRDefault="001C6985" w:rsidP="001C6985">
      <w:pPr>
        <w:ind w:firstLine="142"/>
        <w:jc w:val="both"/>
        <w:rPr>
          <w:lang w:val="uk-UA"/>
        </w:rPr>
      </w:pPr>
      <w:r w:rsidRPr="00F470B5">
        <w:rPr>
          <w:lang w:val="uk-UA"/>
        </w:rPr>
        <w:t>- Консультатив</w:t>
      </w:r>
      <w:r w:rsidR="00F16CF1" w:rsidRPr="00F470B5">
        <w:rPr>
          <w:lang w:val="uk-UA"/>
        </w:rPr>
        <w:t>но –діагностичний центр м. Буча, вул. Польова,21/10;</w:t>
      </w:r>
    </w:p>
    <w:p w:rsidR="001C6985" w:rsidRPr="00F470B5" w:rsidRDefault="00F16CF1" w:rsidP="001C6985">
      <w:pPr>
        <w:ind w:firstLine="142"/>
        <w:jc w:val="both"/>
        <w:rPr>
          <w:lang w:val="uk-UA"/>
        </w:rPr>
      </w:pPr>
      <w:r w:rsidRPr="00F470B5">
        <w:rPr>
          <w:lang w:val="uk-UA"/>
        </w:rPr>
        <w:t>- Денний стаціонар м. Буча, вул. Пушкінська 59 Д;</w:t>
      </w:r>
    </w:p>
    <w:p w:rsidR="001C6985" w:rsidRPr="00F470B5" w:rsidRDefault="00F16CF1" w:rsidP="001C6985">
      <w:pPr>
        <w:ind w:firstLine="142"/>
        <w:jc w:val="both"/>
        <w:rPr>
          <w:lang w:val="uk-UA"/>
        </w:rPr>
      </w:pPr>
      <w:r w:rsidRPr="00F470B5">
        <w:rPr>
          <w:lang w:val="uk-UA"/>
        </w:rPr>
        <w:t>- Фтизіатричний кабінет м. Буча, вул. Шевченка,52</w:t>
      </w:r>
      <w:r w:rsidR="001C6985" w:rsidRPr="00F470B5">
        <w:rPr>
          <w:lang w:val="uk-UA"/>
        </w:rPr>
        <w:t>;</w:t>
      </w:r>
    </w:p>
    <w:p w:rsidR="001C6985" w:rsidRPr="00F470B5" w:rsidRDefault="001C6985" w:rsidP="001C6985">
      <w:pPr>
        <w:ind w:firstLine="142"/>
        <w:jc w:val="both"/>
        <w:rPr>
          <w:lang w:val="uk-UA"/>
        </w:rPr>
      </w:pPr>
      <w:r w:rsidRPr="00F470B5">
        <w:rPr>
          <w:lang w:val="uk-UA"/>
        </w:rPr>
        <w:t>- Стоматологічн</w:t>
      </w:r>
      <w:r w:rsidR="00A24176" w:rsidRPr="00F470B5">
        <w:rPr>
          <w:lang w:val="uk-UA"/>
        </w:rPr>
        <w:t>е відділення</w:t>
      </w:r>
      <w:r w:rsidRPr="00F470B5">
        <w:rPr>
          <w:lang w:val="uk-UA"/>
        </w:rPr>
        <w:t xml:space="preserve"> м. Буча</w:t>
      </w:r>
      <w:r w:rsidR="00F16CF1" w:rsidRPr="00F470B5">
        <w:rPr>
          <w:lang w:val="uk-UA"/>
        </w:rPr>
        <w:t>, бульвар Богдана Хмельницького,</w:t>
      </w:r>
      <w:r w:rsidR="004759FD">
        <w:rPr>
          <w:lang w:val="uk-UA"/>
        </w:rPr>
        <w:t xml:space="preserve"> </w:t>
      </w:r>
      <w:r w:rsidR="00F16CF1" w:rsidRPr="00F470B5">
        <w:rPr>
          <w:lang w:val="uk-UA"/>
        </w:rPr>
        <w:t>2</w:t>
      </w:r>
      <w:r w:rsidRPr="00F470B5">
        <w:rPr>
          <w:lang w:val="uk-UA"/>
        </w:rPr>
        <w:t xml:space="preserve">. </w:t>
      </w:r>
    </w:p>
    <w:p w:rsidR="0072753D" w:rsidRDefault="0072753D" w:rsidP="0072753D">
      <w:pPr>
        <w:autoSpaceDE w:val="0"/>
        <w:autoSpaceDN w:val="0"/>
        <w:adjustRightInd w:val="0"/>
        <w:ind w:firstLine="709"/>
        <w:jc w:val="both"/>
        <w:rPr>
          <w:lang w:val="uk-UA"/>
        </w:rPr>
      </w:pPr>
      <w:r w:rsidRPr="002C40C6">
        <w:rPr>
          <w:lang w:val="uk-UA"/>
        </w:rPr>
        <w:t xml:space="preserve">За бюджетною програмою 2144 « Централізовані заходи з лікування хворих на цукровий та нецукровий діабет» використано </w:t>
      </w:r>
      <w:r>
        <w:rPr>
          <w:lang w:val="uk-UA"/>
        </w:rPr>
        <w:t xml:space="preserve">461,2 </w:t>
      </w:r>
      <w:r w:rsidRPr="002C40C6">
        <w:rPr>
          <w:lang w:val="uk-UA"/>
        </w:rPr>
        <w:t xml:space="preserve">тис. грн., при плані відповідного періоду </w:t>
      </w:r>
      <w:r>
        <w:rPr>
          <w:lang w:val="uk-UA"/>
        </w:rPr>
        <w:t>552,5</w:t>
      </w:r>
      <w:r w:rsidRPr="002C40C6">
        <w:rPr>
          <w:lang w:val="uk-UA"/>
        </w:rPr>
        <w:t xml:space="preserve"> тис. грн. що становить </w:t>
      </w:r>
      <w:r>
        <w:rPr>
          <w:lang w:val="uk-UA"/>
        </w:rPr>
        <w:t xml:space="preserve">83,5 </w:t>
      </w:r>
      <w:r w:rsidRPr="002C40C6">
        <w:rPr>
          <w:lang w:val="uk-UA"/>
        </w:rPr>
        <w:t>% використання планових призначень.</w:t>
      </w:r>
    </w:p>
    <w:p w:rsidR="00001E60" w:rsidRPr="00106648" w:rsidRDefault="00001E60" w:rsidP="00001E60">
      <w:pPr>
        <w:autoSpaceDE w:val="0"/>
        <w:autoSpaceDN w:val="0"/>
        <w:adjustRightInd w:val="0"/>
        <w:ind w:firstLine="709"/>
        <w:jc w:val="both"/>
        <w:rPr>
          <w:lang w:val="uk-UA"/>
        </w:rPr>
      </w:pPr>
      <w:r>
        <w:rPr>
          <w:lang w:val="uk-UA"/>
        </w:rPr>
        <w:t>Ф</w:t>
      </w:r>
      <w:r w:rsidRPr="00106648">
        <w:rPr>
          <w:lang w:val="uk-UA"/>
        </w:rPr>
        <w:t>інанс</w:t>
      </w:r>
      <w:r>
        <w:rPr>
          <w:lang w:val="uk-UA"/>
        </w:rPr>
        <w:t>ування галузі здійснювалося</w:t>
      </w:r>
      <w:r w:rsidRPr="00106648">
        <w:rPr>
          <w:lang w:val="uk-UA"/>
        </w:rPr>
        <w:t>:</w:t>
      </w:r>
    </w:p>
    <w:p w:rsidR="00001E60" w:rsidRDefault="00001E60" w:rsidP="00001E60">
      <w:pPr>
        <w:numPr>
          <w:ilvl w:val="0"/>
          <w:numId w:val="1"/>
        </w:numPr>
        <w:autoSpaceDE w:val="0"/>
        <w:autoSpaceDN w:val="0"/>
        <w:adjustRightInd w:val="0"/>
        <w:ind w:left="0" w:firstLine="567"/>
        <w:jc w:val="both"/>
        <w:rPr>
          <w:lang w:val="uk-UA"/>
        </w:rPr>
      </w:pPr>
      <w:r w:rsidRPr="00106648">
        <w:rPr>
          <w:lang w:val="uk-UA"/>
        </w:rPr>
        <w:t>за рахунок</w:t>
      </w:r>
      <w:r>
        <w:rPr>
          <w:lang w:val="uk-UA"/>
        </w:rPr>
        <w:t xml:space="preserve"> коштів субвенції з місцевого бюджету на здійснення підтримки окремих закладів та заходів у системі охорони здоров’я за рахунок коштів відповідної субвенції з державного бюджету ( на лікування хворих на цукровий діабет інсуліном та нецукровий діабет десмопресином</w:t>
      </w:r>
      <w:r w:rsidRPr="00106648">
        <w:rPr>
          <w:lang w:val="uk-UA"/>
        </w:rPr>
        <w:t xml:space="preserve">– </w:t>
      </w:r>
      <w:r>
        <w:rPr>
          <w:lang w:val="uk-UA"/>
        </w:rPr>
        <w:t>461,2 тис. грн.</w:t>
      </w:r>
    </w:p>
    <w:p w:rsidR="00001E60" w:rsidRPr="00533C6D" w:rsidRDefault="00001E60" w:rsidP="00001E60">
      <w:pPr>
        <w:numPr>
          <w:ilvl w:val="0"/>
          <w:numId w:val="1"/>
        </w:numPr>
        <w:autoSpaceDE w:val="0"/>
        <w:autoSpaceDN w:val="0"/>
        <w:adjustRightInd w:val="0"/>
        <w:ind w:left="0" w:firstLine="567"/>
        <w:jc w:val="both"/>
        <w:rPr>
          <w:lang w:val="uk-UA"/>
        </w:rPr>
      </w:pPr>
      <w:r w:rsidRPr="00533C6D">
        <w:rPr>
          <w:lang w:val="uk-UA"/>
        </w:rPr>
        <w:t>за рахунок коштів місцевого бюджету – 544,5 тис. грн</w:t>
      </w:r>
      <w:r>
        <w:rPr>
          <w:lang w:val="uk-UA"/>
        </w:rPr>
        <w:t>.</w:t>
      </w:r>
    </w:p>
    <w:p w:rsidR="0072753D" w:rsidRDefault="0072753D" w:rsidP="001C6985">
      <w:pPr>
        <w:ind w:firstLine="142"/>
        <w:jc w:val="both"/>
        <w:rPr>
          <w:lang w:val="uk-UA"/>
        </w:rPr>
      </w:pPr>
    </w:p>
    <w:p w:rsidR="0072753D" w:rsidRPr="0072753D" w:rsidRDefault="0072753D" w:rsidP="001C6985">
      <w:pPr>
        <w:ind w:firstLine="142"/>
        <w:jc w:val="both"/>
        <w:rPr>
          <w:sz w:val="16"/>
          <w:szCs w:val="16"/>
          <w:lang w:val="uk-UA"/>
        </w:rPr>
      </w:pPr>
    </w:p>
    <w:p w:rsidR="0072753D" w:rsidRPr="001C6985" w:rsidRDefault="000F2FAC" w:rsidP="0072753D">
      <w:pPr>
        <w:jc w:val="both"/>
        <w:rPr>
          <w:lang w:val="uk-UA"/>
        </w:rPr>
      </w:pPr>
      <w:r>
        <w:rPr>
          <w:noProof/>
          <w:lang w:val="uk-UA" w:eastAsia="uk-UA"/>
        </w:rPr>
        <w:drawing>
          <wp:inline distT="0" distB="0" distL="0" distR="0" wp14:anchorId="37BB60C7" wp14:editId="04F97E78">
            <wp:extent cx="6210300" cy="4076700"/>
            <wp:effectExtent l="0" t="0" r="0" b="0"/>
            <wp:docPr id="4" name="Діагра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C6985" w:rsidRPr="00533C6D" w:rsidRDefault="001C6985" w:rsidP="001C6985">
      <w:pPr>
        <w:ind w:firstLine="567"/>
        <w:jc w:val="both"/>
        <w:rPr>
          <w:sz w:val="16"/>
          <w:szCs w:val="16"/>
          <w:vertAlign w:val="subscript"/>
          <w:lang w:val="uk-UA"/>
        </w:rPr>
      </w:pPr>
      <w:r w:rsidRPr="001C6985">
        <w:rPr>
          <w:lang w:val="uk-UA"/>
        </w:rPr>
        <w:t xml:space="preserve"> </w:t>
      </w:r>
    </w:p>
    <w:p w:rsidR="00533C6D" w:rsidRPr="00533C6D" w:rsidRDefault="0072753D" w:rsidP="0050590D">
      <w:pPr>
        <w:autoSpaceDE w:val="0"/>
        <w:autoSpaceDN w:val="0"/>
        <w:adjustRightInd w:val="0"/>
        <w:ind w:firstLine="709"/>
        <w:jc w:val="both"/>
        <w:rPr>
          <w:lang w:val="uk-UA"/>
        </w:rPr>
      </w:pPr>
      <w:r>
        <w:rPr>
          <w:lang w:val="uk-UA"/>
        </w:rPr>
        <w:t>Кредиторська заборгованість за вказаний період відсутня.</w:t>
      </w:r>
    </w:p>
    <w:p w:rsidR="002D7BDF" w:rsidRPr="000B130B" w:rsidRDefault="002D7BDF" w:rsidP="003131F2">
      <w:pPr>
        <w:ind w:firstLine="709"/>
        <w:jc w:val="center"/>
        <w:rPr>
          <w:b/>
          <w:bCs/>
          <w:i/>
          <w:iCs/>
          <w:color w:val="FF0000"/>
          <w:sz w:val="16"/>
          <w:szCs w:val="16"/>
          <w:u w:val="single"/>
          <w:lang w:val="uk-UA"/>
        </w:rPr>
      </w:pPr>
    </w:p>
    <w:p w:rsidR="00FB14A8" w:rsidRPr="001600EC" w:rsidRDefault="00FB14A8" w:rsidP="00FB14A8">
      <w:pPr>
        <w:ind w:firstLine="709"/>
        <w:jc w:val="center"/>
        <w:rPr>
          <w:b/>
          <w:bCs/>
          <w:i/>
          <w:iCs/>
          <w:sz w:val="26"/>
          <w:szCs w:val="26"/>
          <w:u w:val="single"/>
          <w:lang w:val="uk-UA"/>
        </w:rPr>
      </w:pPr>
      <w:r w:rsidRPr="001600EC">
        <w:rPr>
          <w:b/>
          <w:bCs/>
          <w:i/>
          <w:iCs/>
          <w:sz w:val="26"/>
          <w:szCs w:val="26"/>
          <w:u w:val="single"/>
          <w:lang w:val="uk-UA"/>
        </w:rPr>
        <w:t>3000 Соціальний захист та соціальне забезпечення</w:t>
      </w:r>
    </w:p>
    <w:p w:rsidR="00FB14A8" w:rsidRPr="00895153" w:rsidRDefault="00FB14A8" w:rsidP="00FB14A8">
      <w:pPr>
        <w:ind w:firstLine="709"/>
        <w:jc w:val="center"/>
        <w:rPr>
          <w:b/>
          <w:bCs/>
          <w:i/>
          <w:iCs/>
          <w:color w:val="FF0000"/>
          <w:sz w:val="16"/>
          <w:szCs w:val="16"/>
          <w:u w:val="single"/>
          <w:lang w:val="uk-UA"/>
        </w:rPr>
      </w:pPr>
    </w:p>
    <w:p w:rsidR="0055131A" w:rsidRDefault="00FB14A8" w:rsidP="0055131A">
      <w:pPr>
        <w:ind w:firstLine="709"/>
        <w:jc w:val="both"/>
        <w:rPr>
          <w:lang w:val="uk-UA"/>
        </w:rPr>
      </w:pPr>
      <w:r w:rsidRPr="00E031D4">
        <w:rPr>
          <w:rFonts w:eastAsia="Calibri"/>
          <w:lang w:val="uk-UA"/>
        </w:rPr>
        <w:t xml:space="preserve">По галузі «Соціальний захист та соціальне забезпечення» </w:t>
      </w:r>
      <w:r>
        <w:rPr>
          <w:rFonts w:eastAsia="Calibri"/>
          <w:lang w:val="uk-UA"/>
        </w:rPr>
        <w:t>виконання плану по загальному фонду складає 44,8% (уточнений план 9 795,6 тис. грн., касові видатки 4 369,9 тис. грн.) по спеціальному фонду касові видатки не проводились.</w:t>
      </w:r>
      <w:r w:rsidR="00805CC3" w:rsidRPr="00805CC3">
        <w:rPr>
          <w:lang w:val="uk-UA"/>
        </w:rPr>
        <w:t xml:space="preserve"> </w:t>
      </w:r>
      <w:r w:rsidR="00805CC3" w:rsidRPr="009A12E0">
        <w:rPr>
          <w:lang w:val="uk-UA"/>
        </w:rPr>
        <w:t xml:space="preserve">Відповідно до минулого періоду 2020 року видатки загального фонду збільшені на </w:t>
      </w:r>
      <w:r w:rsidR="00805CC3">
        <w:rPr>
          <w:lang w:val="uk-UA"/>
        </w:rPr>
        <w:t>1 612,9</w:t>
      </w:r>
      <w:r w:rsidR="00805CC3" w:rsidRPr="009A12E0">
        <w:rPr>
          <w:lang w:val="uk-UA"/>
        </w:rPr>
        <w:t xml:space="preserve"> тис. грн., або на </w:t>
      </w:r>
      <w:r w:rsidR="00805CC3">
        <w:rPr>
          <w:lang w:val="uk-UA"/>
        </w:rPr>
        <w:t>58,5</w:t>
      </w:r>
      <w:r w:rsidR="00805CC3" w:rsidRPr="009A12E0">
        <w:rPr>
          <w:lang w:val="uk-UA"/>
        </w:rPr>
        <w:t xml:space="preserve"> %. </w:t>
      </w:r>
      <w:r w:rsidR="00815098">
        <w:rPr>
          <w:lang w:val="uk-UA"/>
        </w:rPr>
        <w:t>Ріст видатків по загальному фонду</w:t>
      </w:r>
      <w:r w:rsidR="00805CC3">
        <w:rPr>
          <w:lang w:val="uk-UA"/>
        </w:rPr>
        <w:t xml:space="preserve"> зумовлено збільш</w:t>
      </w:r>
      <w:r w:rsidR="0050590D">
        <w:rPr>
          <w:lang w:val="uk-UA"/>
        </w:rPr>
        <w:t>енням соціально – вразливої кількості населення, яке потребує соціальної допомоги в умовах карантинних заходів.</w:t>
      </w:r>
    </w:p>
    <w:p w:rsidR="0041772B" w:rsidRDefault="0041772B" w:rsidP="0055131A">
      <w:pPr>
        <w:ind w:firstLine="709"/>
        <w:jc w:val="both"/>
        <w:rPr>
          <w:lang w:val="uk-UA"/>
        </w:rPr>
      </w:pPr>
    </w:p>
    <w:p w:rsidR="00FB14A8" w:rsidRDefault="00FB14A8" w:rsidP="00FB14A8">
      <w:pPr>
        <w:jc w:val="both"/>
        <w:rPr>
          <w:color w:val="FF0000"/>
          <w:lang w:val="uk-UA"/>
        </w:rPr>
      </w:pPr>
      <w:r>
        <w:rPr>
          <w:noProof/>
          <w:lang w:val="uk-UA" w:eastAsia="uk-UA"/>
        </w:rPr>
        <w:drawing>
          <wp:inline distT="0" distB="0" distL="0" distR="0" wp14:anchorId="6F75EB24" wp14:editId="19CAAD48">
            <wp:extent cx="6105525" cy="3438525"/>
            <wp:effectExtent l="0" t="0" r="9525" b="9525"/>
            <wp:docPr id="13" name="Діагра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8370B9" w:rsidRPr="008370B9" w:rsidRDefault="008370B9" w:rsidP="008370B9">
      <w:pPr>
        <w:jc w:val="both"/>
        <w:rPr>
          <w:b/>
          <w:i/>
          <w:sz w:val="16"/>
          <w:szCs w:val="16"/>
          <w:lang w:val="uk-UA"/>
        </w:rPr>
      </w:pPr>
    </w:p>
    <w:p w:rsidR="00001E60" w:rsidRPr="00A936A9" w:rsidRDefault="00001E60" w:rsidP="00001E60">
      <w:pPr>
        <w:ind w:firstLine="709"/>
        <w:jc w:val="both"/>
        <w:rPr>
          <w:lang w:val="uk-UA"/>
        </w:rPr>
      </w:pPr>
      <w:r w:rsidRPr="00A936A9">
        <w:rPr>
          <w:lang w:val="uk-UA"/>
        </w:rPr>
        <w:lastRenderedPageBreak/>
        <w:t xml:space="preserve">По головних розпорядниках Бучанської міської </w:t>
      </w:r>
      <w:r>
        <w:rPr>
          <w:lang w:val="uk-UA"/>
        </w:rPr>
        <w:t xml:space="preserve">територіальної громади </w:t>
      </w:r>
      <w:r w:rsidRPr="00A936A9">
        <w:rPr>
          <w:lang w:val="uk-UA"/>
        </w:rPr>
        <w:t xml:space="preserve">видатки розподілені між: </w:t>
      </w:r>
    </w:p>
    <w:p w:rsidR="00001E60" w:rsidRPr="00A936A9" w:rsidRDefault="00001E60" w:rsidP="00001E60">
      <w:pPr>
        <w:numPr>
          <w:ilvl w:val="0"/>
          <w:numId w:val="1"/>
        </w:numPr>
        <w:jc w:val="both"/>
        <w:rPr>
          <w:lang w:val="uk-UA"/>
        </w:rPr>
      </w:pPr>
      <w:r w:rsidRPr="00A936A9">
        <w:rPr>
          <w:lang w:val="uk-UA"/>
        </w:rPr>
        <w:t xml:space="preserve">Бучанською міською радою – </w:t>
      </w:r>
      <w:r>
        <w:rPr>
          <w:lang w:val="uk-UA"/>
        </w:rPr>
        <w:t>1 344,9</w:t>
      </w:r>
      <w:r w:rsidRPr="00A936A9">
        <w:rPr>
          <w:lang w:val="uk-UA"/>
        </w:rPr>
        <w:t xml:space="preserve"> тис. грн.;</w:t>
      </w:r>
    </w:p>
    <w:p w:rsidR="00001E60" w:rsidRPr="00A936A9" w:rsidRDefault="00001E60" w:rsidP="00001E60">
      <w:pPr>
        <w:numPr>
          <w:ilvl w:val="0"/>
          <w:numId w:val="1"/>
        </w:numPr>
        <w:jc w:val="both"/>
        <w:rPr>
          <w:lang w:val="uk-UA"/>
        </w:rPr>
      </w:pPr>
      <w:r>
        <w:rPr>
          <w:lang w:val="uk-UA"/>
        </w:rPr>
        <w:t>Управлінням соціальної політики Бучанської міської ради</w:t>
      </w:r>
      <w:r w:rsidRPr="00A936A9">
        <w:rPr>
          <w:lang w:val="uk-UA"/>
        </w:rPr>
        <w:t xml:space="preserve"> – </w:t>
      </w:r>
      <w:r>
        <w:rPr>
          <w:lang w:val="uk-UA"/>
        </w:rPr>
        <w:t>2 894,6</w:t>
      </w:r>
      <w:r w:rsidRPr="00A936A9">
        <w:rPr>
          <w:lang w:val="uk-UA"/>
        </w:rPr>
        <w:t xml:space="preserve"> тис. грн.;</w:t>
      </w:r>
    </w:p>
    <w:p w:rsidR="00001E60" w:rsidRPr="00A936A9" w:rsidRDefault="00001E60" w:rsidP="00001E60">
      <w:pPr>
        <w:numPr>
          <w:ilvl w:val="0"/>
          <w:numId w:val="1"/>
        </w:numPr>
        <w:jc w:val="both"/>
        <w:rPr>
          <w:lang w:val="uk-UA"/>
        </w:rPr>
      </w:pPr>
      <w:r w:rsidRPr="00A936A9">
        <w:rPr>
          <w:lang w:val="uk-UA"/>
        </w:rPr>
        <w:t xml:space="preserve">Відділом молоді та спорту Бучанської міської ради – </w:t>
      </w:r>
      <w:r>
        <w:rPr>
          <w:lang w:val="uk-UA"/>
        </w:rPr>
        <w:t>130,4</w:t>
      </w:r>
      <w:r w:rsidRPr="00A936A9">
        <w:rPr>
          <w:lang w:val="uk-UA"/>
        </w:rPr>
        <w:t xml:space="preserve"> тис. грн.</w:t>
      </w:r>
    </w:p>
    <w:p w:rsidR="00001E60" w:rsidRPr="00F448A4" w:rsidRDefault="00001E60" w:rsidP="00001E60">
      <w:pPr>
        <w:ind w:firstLine="709"/>
        <w:jc w:val="both"/>
        <w:rPr>
          <w:color w:val="FF0000"/>
          <w:sz w:val="10"/>
          <w:szCs w:val="10"/>
          <w:lang w:val="uk-UA"/>
        </w:rPr>
      </w:pPr>
    </w:p>
    <w:p w:rsidR="00171FFF" w:rsidRDefault="00171FFF" w:rsidP="008370B9">
      <w:pPr>
        <w:jc w:val="both"/>
        <w:rPr>
          <w:b/>
          <w:i/>
          <w:sz w:val="25"/>
          <w:szCs w:val="25"/>
          <w:lang w:val="uk-UA"/>
        </w:rPr>
      </w:pPr>
      <w:r w:rsidRPr="00171FFF">
        <w:rPr>
          <w:b/>
          <w:i/>
          <w:sz w:val="25"/>
          <w:szCs w:val="25"/>
          <w:lang w:val="uk-UA"/>
        </w:rPr>
        <w:t xml:space="preserve">Загальний фонд </w:t>
      </w:r>
    </w:p>
    <w:p w:rsidR="00171FFF" w:rsidRPr="00F448A4" w:rsidRDefault="00171FFF" w:rsidP="00FB14A8">
      <w:pPr>
        <w:ind w:firstLine="709"/>
        <w:jc w:val="both"/>
        <w:rPr>
          <w:b/>
          <w:i/>
          <w:sz w:val="10"/>
          <w:szCs w:val="10"/>
          <w:lang w:val="uk-UA"/>
        </w:rPr>
      </w:pPr>
    </w:p>
    <w:p w:rsidR="00FB14A8" w:rsidRPr="00422343" w:rsidRDefault="00FB14A8" w:rsidP="00FB14A8">
      <w:pPr>
        <w:ind w:firstLine="709"/>
        <w:jc w:val="both"/>
        <w:rPr>
          <w:lang w:val="uk-UA"/>
        </w:rPr>
      </w:pPr>
      <w:r w:rsidRPr="00422343">
        <w:rPr>
          <w:b/>
          <w:lang w:val="uk-UA"/>
        </w:rPr>
        <w:t>По головному розпоряднику Бучанська міська рада</w:t>
      </w:r>
      <w:r w:rsidRPr="00422343">
        <w:rPr>
          <w:lang w:val="uk-UA"/>
        </w:rPr>
        <w:t xml:space="preserve"> </w:t>
      </w:r>
      <w:r>
        <w:rPr>
          <w:lang w:val="uk-UA"/>
        </w:rPr>
        <w:t>виконання плану складає 97,6 % виконання (уточнений план 1 378,5 тис. грн., касові видатки 1 344,9 тис. грн.)</w:t>
      </w:r>
      <w:r w:rsidRPr="00422343">
        <w:rPr>
          <w:lang w:val="uk-UA"/>
        </w:rPr>
        <w:t>.</w:t>
      </w:r>
    </w:p>
    <w:p w:rsidR="00FB14A8" w:rsidRDefault="00FB14A8" w:rsidP="00FB14A8">
      <w:pPr>
        <w:ind w:firstLine="709"/>
        <w:jc w:val="both"/>
        <w:rPr>
          <w:lang w:val="uk-UA"/>
        </w:rPr>
      </w:pPr>
      <w:r w:rsidRPr="005A1C43">
        <w:rPr>
          <w:lang w:val="uk-UA"/>
        </w:rPr>
        <w:t>За бюджетною програмою 3121 «Утримання та забезпечення діяльності центрів соціальних служб для сім</w:t>
      </w:r>
      <w:r w:rsidRPr="005A1C43">
        <w:rPr>
          <w:rFonts w:ascii="Calibri" w:hAnsi="Calibri" w:cs="Calibri"/>
          <w:lang w:val="uk-UA"/>
        </w:rPr>
        <w:t>'</w:t>
      </w:r>
      <w:r w:rsidRPr="005A1C43">
        <w:rPr>
          <w:lang w:val="uk-UA"/>
        </w:rPr>
        <w:t xml:space="preserve">ї, дітей та молоді» </w:t>
      </w:r>
      <w:r>
        <w:rPr>
          <w:lang w:val="uk-UA"/>
        </w:rPr>
        <w:t>виконання плану складає 65,9 % (уточнений план 98,5 тис. грн., касові видатки 64,9 тис. грн.)</w:t>
      </w:r>
      <w:r w:rsidRPr="00422343">
        <w:rPr>
          <w:lang w:val="uk-UA"/>
        </w:rPr>
        <w:t>.</w:t>
      </w:r>
    </w:p>
    <w:p w:rsidR="00FB14A8" w:rsidRDefault="00FB14A8" w:rsidP="00FB14A8">
      <w:pPr>
        <w:ind w:firstLine="709"/>
        <w:jc w:val="both"/>
        <w:rPr>
          <w:lang w:val="uk-UA"/>
        </w:rPr>
      </w:pPr>
      <w:r w:rsidRPr="00AD3AC0">
        <w:rPr>
          <w:lang w:val="uk-UA"/>
        </w:rPr>
        <w:t>За бюджетною програмою 3123 «Заходи державної політики з питань сім</w:t>
      </w:r>
      <w:r w:rsidRPr="00AD3AC0">
        <w:rPr>
          <w:rFonts w:ascii="Calibri" w:hAnsi="Calibri" w:cs="Calibri"/>
          <w:lang w:val="uk-UA"/>
        </w:rPr>
        <w:t>'</w:t>
      </w:r>
      <w:r w:rsidRPr="00AD3AC0">
        <w:rPr>
          <w:lang w:val="uk-UA"/>
        </w:rPr>
        <w:t xml:space="preserve">ї» </w:t>
      </w:r>
      <w:r>
        <w:rPr>
          <w:lang w:val="uk-UA"/>
        </w:rPr>
        <w:t>виконання плану складає 100,0 % (уточнений план 1 280,0 тис. грн., касові видатки 1 280,0 тис. грн.)</w:t>
      </w:r>
      <w:r w:rsidRPr="00422343">
        <w:rPr>
          <w:lang w:val="uk-UA"/>
        </w:rPr>
        <w:t>.</w:t>
      </w:r>
    </w:p>
    <w:p w:rsidR="00FB14A8" w:rsidRPr="00895153" w:rsidRDefault="00FB14A8" w:rsidP="00FB14A8">
      <w:pPr>
        <w:ind w:firstLine="709"/>
        <w:jc w:val="both"/>
        <w:rPr>
          <w:color w:val="FF0000"/>
          <w:sz w:val="16"/>
          <w:szCs w:val="16"/>
          <w:lang w:val="uk-UA"/>
        </w:rPr>
      </w:pPr>
      <w:r w:rsidRPr="00712554">
        <w:rPr>
          <w:b/>
          <w:bCs/>
          <w:lang w:val="uk-UA"/>
        </w:rPr>
        <w:t xml:space="preserve">По головному розпоряднику Управління </w:t>
      </w:r>
      <w:r>
        <w:rPr>
          <w:b/>
          <w:bCs/>
          <w:lang w:val="uk-UA"/>
        </w:rPr>
        <w:t>соціальної політики</w:t>
      </w:r>
      <w:r>
        <w:rPr>
          <w:lang w:val="uk-UA"/>
        </w:rPr>
        <w:t xml:space="preserve"> </w:t>
      </w:r>
      <w:r w:rsidRPr="006743A6">
        <w:rPr>
          <w:b/>
          <w:lang w:val="uk-UA"/>
        </w:rPr>
        <w:t>Бучанської міської ради</w:t>
      </w:r>
      <w:r>
        <w:rPr>
          <w:lang w:val="uk-UA"/>
        </w:rPr>
        <w:t xml:space="preserve"> виконання плану складає 35,1% (уточнений план 8 236,5 тис. грн., касові видатки 2 894,6 тис. грн.)</w:t>
      </w:r>
      <w:r w:rsidRPr="00422343">
        <w:rPr>
          <w:lang w:val="uk-UA"/>
        </w:rPr>
        <w:t>.</w:t>
      </w:r>
      <w:r w:rsidRPr="00895153">
        <w:rPr>
          <w:color w:val="FF0000"/>
          <w:lang w:val="uk-UA"/>
        </w:rPr>
        <w:t xml:space="preserve">      </w:t>
      </w:r>
    </w:p>
    <w:p w:rsidR="00FB14A8" w:rsidRPr="003F18D7" w:rsidRDefault="00FB14A8" w:rsidP="00FB14A8">
      <w:pPr>
        <w:ind w:firstLine="709"/>
        <w:jc w:val="both"/>
        <w:rPr>
          <w:color w:val="FF0000"/>
          <w:sz w:val="10"/>
          <w:szCs w:val="10"/>
          <w:lang w:val="uk-UA"/>
        </w:rPr>
      </w:pPr>
    </w:p>
    <w:p w:rsidR="00FC494A" w:rsidRDefault="00FC494A" w:rsidP="00FC494A">
      <w:pPr>
        <w:ind w:firstLine="142"/>
        <w:jc w:val="both"/>
        <w:rPr>
          <w:lang w:val="uk-UA"/>
        </w:rPr>
      </w:pPr>
      <w:r>
        <w:rPr>
          <w:lang w:val="uk-UA"/>
        </w:rPr>
        <w:t xml:space="preserve">          На виконання міської програми «</w:t>
      </w:r>
      <w:r>
        <w:rPr>
          <w:b/>
          <w:bCs/>
          <w:lang w:val="uk-UA"/>
        </w:rPr>
        <w:t>З турботою про кожного</w:t>
      </w:r>
      <w:r>
        <w:rPr>
          <w:lang w:val="uk-UA"/>
        </w:rPr>
        <w:t>» за І квартал 2021 року використано коштів</w:t>
      </w:r>
      <w:r>
        <w:rPr>
          <w:b/>
          <w:bCs/>
          <w:lang w:val="uk-UA"/>
        </w:rPr>
        <w:t xml:space="preserve"> </w:t>
      </w:r>
      <w:r>
        <w:rPr>
          <w:lang w:val="uk-UA"/>
        </w:rPr>
        <w:t xml:space="preserve"> на загальну суму </w:t>
      </w:r>
      <w:r w:rsidR="00706BD7">
        <w:rPr>
          <w:lang w:val="uk-UA"/>
        </w:rPr>
        <w:t>849,8</w:t>
      </w:r>
      <w:r>
        <w:rPr>
          <w:b/>
          <w:bCs/>
          <w:lang w:val="uk-UA"/>
        </w:rPr>
        <w:t xml:space="preserve"> </w:t>
      </w:r>
      <w:r>
        <w:rPr>
          <w:lang w:val="uk-UA"/>
        </w:rPr>
        <w:t>тис.  грн.</w:t>
      </w:r>
      <w:r>
        <w:rPr>
          <w:b/>
          <w:bCs/>
          <w:lang w:val="uk-UA"/>
        </w:rPr>
        <w:t xml:space="preserve"> </w:t>
      </w:r>
      <w:r>
        <w:rPr>
          <w:lang w:val="uk-UA"/>
        </w:rPr>
        <w:t>при уточненому плані 1 704,1 тис.  грн., що становить 4</w:t>
      </w:r>
      <w:r w:rsidR="003A252F">
        <w:rPr>
          <w:lang w:val="uk-UA"/>
        </w:rPr>
        <w:t>9,9</w:t>
      </w:r>
      <w:r>
        <w:rPr>
          <w:lang w:val="uk-UA"/>
        </w:rPr>
        <w:t xml:space="preserve"> % уточненого плану:</w:t>
      </w:r>
    </w:p>
    <w:p w:rsidR="00FC494A" w:rsidRDefault="00FC494A" w:rsidP="00FC494A">
      <w:pPr>
        <w:numPr>
          <w:ilvl w:val="0"/>
          <w:numId w:val="24"/>
        </w:numPr>
        <w:ind w:left="0" w:firstLine="709"/>
        <w:jc w:val="both"/>
        <w:rPr>
          <w:lang w:val="uk-UA"/>
        </w:rPr>
      </w:pPr>
      <w:r>
        <w:rPr>
          <w:lang w:val="uk-UA"/>
        </w:rPr>
        <w:t xml:space="preserve">На виплату матеріальної  та соціальної допомоги направлено </w:t>
      </w:r>
      <w:r>
        <w:t>7</w:t>
      </w:r>
      <w:r w:rsidR="00706BD7">
        <w:rPr>
          <w:lang w:val="uk-UA"/>
        </w:rPr>
        <w:t>70,9</w:t>
      </w:r>
      <w:r>
        <w:rPr>
          <w:lang w:val="uk-UA"/>
        </w:rPr>
        <w:t xml:space="preserve"> тис. грн  для 621 особи</w:t>
      </w:r>
    </w:p>
    <w:p w:rsidR="00FC494A" w:rsidRPr="009A26F8" w:rsidRDefault="00FC494A" w:rsidP="00FC494A">
      <w:pPr>
        <w:numPr>
          <w:ilvl w:val="0"/>
          <w:numId w:val="24"/>
        </w:numPr>
        <w:ind w:left="0" w:firstLine="709"/>
        <w:jc w:val="both"/>
        <w:rPr>
          <w:lang w:val="uk-UA"/>
        </w:rPr>
      </w:pPr>
      <w:r>
        <w:rPr>
          <w:lang w:val="uk-UA"/>
        </w:rPr>
        <w:t xml:space="preserve">Крім того, проведено заходів по вказаній місцевої програмі на суму 78,9 тис. грн.  </w:t>
      </w:r>
      <w:r>
        <w:rPr>
          <w:b/>
          <w:bCs/>
          <w:lang w:val="uk-UA"/>
        </w:rPr>
        <w:t xml:space="preserve"> </w:t>
      </w:r>
    </w:p>
    <w:p w:rsidR="00FC494A" w:rsidRDefault="00FC494A" w:rsidP="00B44C53">
      <w:pPr>
        <w:spacing w:line="300" w:lineRule="exact"/>
        <w:jc w:val="both"/>
        <w:rPr>
          <w:lang w:val="uk-UA"/>
        </w:rPr>
      </w:pPr>
      <w:r>
        <w:rPr>
          <w:b/>
          <w:bCs/>
          <w:lang w:val="uk-UA"/>
        </w:rPr>
        <w:t xml:space="preserve">         </w:t>
      </w:r>
      <w:r>
        <w:rPr>
          <w:lang w:val="uk-UA"/>
        </w:rPr>
        <w:t>На виконання міської програми «</w:t>
      </w:r>
      <w:r w:rsidRPr="009A26F8">
        <w:rPr>
          <w:b/>
          <w:bCs/>
          <w:lang w:val="uk-UA"/>
        </w:rPr>
        <w:t>Міська комплексна цільова програма «Соціальна підтримка учасників АТО/ООС та членів їх сімей, учасників Революції Гідності та членів їх сімей»</w:t>
      </w:r>
      <w:r>
        <w:rPr>
          <w:lang w:val="uk-UA"/>
        </w:rPr>
        <w:t xml:space="preserve"> за І квартал 2021 року використано коштів</w:t>
      </w:r>
      <w:r>
        <w:rPr>
          <w:b/>
          <w:bCs/>
          <w:lang w:val="uk-UA"/>
        </w:rPr>
        <w:t xml:space="preserve"> </w:t>
      </w:r>
      <w:r>
        <w:rPr>
          <w:lang w:val="uk-UA"/>
        </w:rPr>
        <w:t xml:space="preserve"> на загальну суму </w:t>
      </w:r>
      <w:r>
        <w:rPr>
          <w:b/>
          <w:bCs/>
          <w:lang w:val="uk-UA"/>
        </w:rPr>
        <w:t xml:space="preserve">1 204,5 </w:t>
      </w:r>
      <w:r>
        <w:rPr>
          <w:lang w:val="uk-UA"/>
        </w:rPr>
        <w:t>тис.  грн.</w:t>
      </w:r>
      <w:r>
        <w:rPr>
          <w:b/>
          <w:bCs/>
          <w:lang w:val="uk-UA"/>
        </w:rPr>
        <w:t xml:space="preserve"> </w:t>
      </w:r>
      <w:r>
        <w:rPr>
          <w:lang w:val="uk-UA"/>
        </w:rPr>
        <w:t>при уточненому плані 1204,5 тис.  грн., що становить 100 % уточненого плану</w:t>
      </w:r>
      <w:r w:rsidR="00B44C53">
        <w:rPr>
          <w:lang w:val="uk-UA"/>
        </w:rPr>
        <w:t xml:space="preserve">, надано </w:t>
      </w:r>
      <w:r>
        <w:rPr>
          <w:lang w:val="uk-UA"/>
        </w:rPr>
        <w:t>матеріальн</w:t>
      </w:r>
      <w:r w:rsidR="00B44C53">
        <w:rPr>
          <w:lang w:val="uk-UA"/>
        </w:rPr>
        <w:t>у</w:t>
      </w:r>
      <w:r>
        <w:rPr>
          <w:lang w:val="uk-UA"/>
        </w:rPr>
        <w:t xml:space="preserve">  та соціальної допомог</w:t>
      </w:r>
      <w:r w:rsidR="00B44C53">
        <w:rPr>
          <w:lang w:val="uk-UA"/>
        </w:rPr>
        <w:t xml:space="preserve">у </w:t>
      </w:r>
      <w:r>
        <w:rPr>
          <w:lang w:val="uk-UA"/>
        </w:rPr>
        <w:t>191особ</w:t>
      </w:r>
      <w:r w:rsidR="00B44C53">
        <w:rPr>
          <w:lang w:val="uk-UA"/>
        </w:rPr>
        <w:t>і</w:t>
      </w:r>
      <w:bookmarkStart w:id="8" w:name="_GoBack"/>
      <w:bookmarkEnd w:id="8"/>
      <w:r>
        <w:rPr>
          <w:lang w:val="uk-UA"/>
        </w:rPr>
        <w:t>.</w:t>
      </w:r>
    </w:p>
    <w:p w:rsidR="00FB14A8" w:rsidRDefault="00FB14A8" w:rsidP="00283C2F">
      <w:pPr>
        <w:ind w:firstLine="709"/>
        <w:jc w:val="both"/>
        <w:rPr>
          <w:color w:val="FF0000"/>
          <w:lang w:val="uk-UA"/>
        </w:rPr>
      </w:pPr>
      <w:r w:rsidRPr="00D72C07">
        <w:rPr>
          <w:color w:val="FF0000"/>
          <w:lang w:val="uk-UA"/>
        </w:rPr>
        <w:t xml:space="preserve">  </w:t>
      </w:r>
      <w:r>
        <w:rPr>
          <w:lang w:val="uk-UA"/>
        </w:rPr>
        <w:t>За бюджетною програмою 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r>
        <w:rPr>
          <w:b/>
          <w:bCs/>
          <w:lang w:val="uk-UA"/>
        </w:rPr>
        <w:t xml:space="preserve"> </w:t>
      </w:r>
      <w:r>
        <w:rPr>
          <w:lang w:val="uk-UA"/>
        </w:rPr>
        <w:t>виконання плану складає 57,7 % (уточнений план 1 315,0 тис. грн., касові видатки 759,0 тис. грн.)</w:t>
      </w:r>
      <w:r w:rsidRPr="00422343">
        <w:rPr>
          <w:lang w:val="uk-UA"/>
        </w:rPr>
        <w:t>.</w:t>
      </w:r>
      <w:r w:rsidRPr="00895153">
        <w:rPr>
          <w:color w:val="FF0000"/>
          <w:lang w:val="uk-UA"/>
        </w:rPr>
        <w:t xml:space="preserve">  </w:t>
      </w:r>
    </w:p>
    <w:p w:rsidR="00FB14A8" w:rsidRDefault="00FB14A8" w:rsidP="00FB14A8">
      <w:pPr>
        <w:ind w:firstLine="709"/>
        <w:jc w:val="both"/>
        <w:rPr>
          <w:color w:val="FF0000"/>
          <w:lang w:val="uk-UA"/>
        </w:rPr>
      </w:pPr>
      <w:r w:rsidRPr="005A1C43">
        <w:rPr>
          <w:lang w:val="uk-UA"/>
        </w:rPr>
        <w:t>За бюджетною програмою 3121 «Утримання та забезпечення діяльності центрів соціальних служб для сім</w:t>
      </w:r>
      <w:r w:rsidRPr="005A1C43">
        <w:rPr>
          <w:rFonts w:ascii="Calibri" w:hAnsi="Calibri" w:cs="Calibri"/>
          <w:lang w:val="uk-UA"/>
        </w:rPr>
        <w:t>'</w:t>
      </w:r>
      <w:r w:rsidRPr="005A1C43">
        <w:rPr>
          <w:lang w:val="uk-UA"/>
        </w:rPr>
        <w:t xml:space="preserve">ї, дітей та молоді» </w:t>
      </w:r>
      <w:r>
        <w:rPr>
          <w:lang w:val="uk-UA"/>
        </w:rPr>
        <w:t>виконання плану складає 19,3 % (уточнений план 163,2 тис. грн., касові видатки 31,6 тис. грн.)</w:t>
      </w:r>
      <w:r w:rsidRPr="00422343">
        <w:rPr>
          <w:lang w:val="uk-UA"/>
        </w:rPr>
        <w:t>.</w:t>
      </w:r>
      <w:r w:rsidRPr="00895153">
        <w:rPr>
          <w:color w:val="FF0000"/>
          <w:lang w:val="uk-UA"/>
        </w:rPr>
        <w:t xml:space="preserve">    </w:t>
      </w:r>
    </w:p>
    <w:p w:rsidR="00FB14A8" w:rsidRDefault="00FB14A8" w:rsidP="00FB14A8">
      <w:pPr>
        <w:jc w:val="both"/>
        <w:rPr>
          <w:lang w:val="uk-UA"/>
        </w:rPr>
      </w:pPr>
      <w:r>
        <w:rPr>
          <w:lang w:val="uk-UA"/>
        </w:rPr>
        <w:t xml:space="preserve">           За бюджетною програмою 3160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використано 55,9 тис. грн., при уточненому плані 263,9 тис. грн., що становить          21,2 % виконання плану. Допомога надана 52 особам.</w:t>
      </w:r>
    </w:p>
    <w:p w:rsidR="00FB14A8" w:rsidRDefault="00FB14A8" w:rsidP="00FB14A8">
      <w:pPr>
        <w:jc w:val="both"/>
        <w:rPr>
          <w:lang w:val="uk-UA"/>
        </w:rPr>
      </w:pPr>
      <w:r>
        <w:rPr>
          <w:lang w:val="uk-UA"/>
        </w:rPr>
        <w:t xml:space="preserve">           На фінансову підтримку громадських організацій (на виплату заробітної плати) виділено 48,5 тис. грн. при плані відповідного періоду 197,8 тис. грн., виконання становить 24,5 %, а саме:</w:t>
      </w:r>
    </w:p>
    <w:p w:rsidR="00FB14A8" w:rsidRDefault="00FB14A8" w:rsidP="00FB14A8">
      <w:pPr>
        <w:numPr>
          <w:ilvl w:val="0"/>
          <w:numId w:val="16"/>
        </w:numPr>
        <w:jc w:val="both"/>
        <w:rPr>
          <w:lang w:val="uk-UA"/>
        </w:rPr>
      </w:pPr>
      <w:r>
        <w:rPr>
          <w:lang w:val="uk-UA"/>
        </w:rPr>
        <w:t xml:space="preserve">для </w:t>
      </w:r>
      <w:r>
        <w:rPr>
          <w:b/>
          <w:bCs/>
          <w:lang w:val="uk-UA"/>
        </w:rPr>
        <w:t xml:space="preserve">міської організації «Ветеранів України» </w:t>
      </w:r>
      <w:r>
        <w:rPr>
          <w:lang w:val="uk-UA"/>
        </w:rPr>
        <w:t>в сумі 4,6 тис. грн.;</w:t>
      </w:r>
    </w:p>
    <w:p w:rsidR="00FB14A8" w:rsidRDefault="00FB14A8" w:rsidP="00FB14A8">
      <w:pPr>
        <w:numPr>
          <w:ilvl w:val="0"/>
          <w:numId w:val="16"/>
        </w:numPr>
        <w:jc w:val="both"/>
        <w:rPr>
          <w:lang w:val="uk-UA"/>
        </w:rPr>
      </w:pPr>
      <w:r>
        <w:rPr>
          <w:lang w:val="uk-UA"/>
        </w:rPr>
        <w:t xml:space="preserve">для </w:t>
      </w:r>
      <w:r>
        <w:rPr>
          <w:b/>
          <w:bCs/>
          <w:lang w:val="uk-UA"/>
        </w:rPr>
        <w:t>міської організації інвалідів війни, Збройних сил</w:t>
      </w:r>
      <w:r>
        <w:rPr>
          <w:lang w:val="uk-UA"/>
        </w:rPr>
        <w:t xml:space="preserve"> </w:t>
      </w:r>
      <w:r>
        <w:rPr>
          <w:b/>
          <w:bCs/>
          <w:lang w:val="uk-UA"/>
        </w:rPr>
        <w:t>та учасників бойових</w:t>
      </w:r>
      <w:r>
        <w:rPr>
          <w:lang w:val="uk-UA"/>
        </w:rPr>
        <w:t xml:space="preserve"> </w:t>
      </w:r>
      <w:r>
        <w:rPr>
          <w:b/>
          <w:bCs/>
          <w:lang w:val="uk-UA"/>
        </w:rPr>
        <w:t xml:space="preserve">дій </w:t>
      </w:r>
      <w:r>
        <w:rPr>
          <w:lang w:val="uk-UA"/>
        </w:rPr>
        <w:t>в сумі 14,0</w:t>
      </w:r>
      <w:r>
        <w:rPr>
          <w:b/>
          <w:bCs/>
          <w:lang w:val="uk-UA"/>
        </w:rPr>
        <w:t xml:space="preserve"> </w:t>
      </w:r>
      <w:r>
        <w:rPr>
          <w:lang w:val="uk-UA"/>
        </w:rPr>
        <w:t>тис. грн.;</w:t>
      </w:r>
    </w:p>
    <w:p w:rsidR="00FB14A8" w:rsidRDefault="00FB14A8" w:rsidP="00FB14A8">
      <w:pPr>
        <w:numPr>
          <w:ilvl w:val="0"/>
          <w:numId w:val="16"/>
        </w:numPr>
        <w:jc w:val="both"/>
        <w:rPr>
          <w:lang w:val="uk-UA"/>
        </w:rPr>
      </w:pPr>
      <w:r>
        <w:rPr>
          <w:lang w:val="uk-UA"/>
        </w:rPr>
        <w:t>для</w:t>
      </w:r>
      <w:r>
        <w:rPr>
          <w:b/>
          <w:bCs/>
          <w:lang w:val="uk-UA"/>
        </w:rPr>
        <w:t xml:space="preserve"> громадської організації інвалідів «Відгук»</w:t>
      </w:r>
      <w:r>
        <w:rPr>
          <w:lang w:val="uk-UA"/>
        </w:rPr>
        <w:t xml:space="preserve"> в сумі 19,5 тис. грн.;</w:t>
      </w:r>
    </w:p>
    <w:p w:rsidR="00FB14A8" w:rsidRDefault="00FB14A8" w:rsidP="00FB14A8">
      <w:pPr>
        <w:numPr>
          <w:ilvl w:val="0"/>
          <w:numId w:val="16"/>
        </w:numPr>
        <w:jc w:val="both"/>
        <w:rPr>
          <w:lang w:val="uk-UA"/>
        </w:rPr>
      </w:pPr>
      <w:r>
        <w:rPr>
          <w:lang w:val="uk-UA"/>
        </w:rPr>
        <w:t xml:space="preserve">для </w:t>
      </w:r>
      <w:r>
        <w:rPr>
          <w:b/>
          <w:bCs/>
          <w:lang w:val="uk-UA"/>
        </w:rPr>
        <w:t>Громадської організації «Чорнобилець 86»</w:t>
      </w:r>
      <w:r>
        <w:rPr>
          <w:lang w:val="uk-UA"/>
        </w:rPr>
        <w:t xml:space="preserve"> в сумі 5,5 тис. грн.;</w:t>
      </w:r>
    </w:p>
    <w:p w:rsidR="00FB14A8" w:rsidRDefault="00FB14A8" w:rsidP="00FB14A8">
      <w:pPr>
        <w:numPr>
          <w:ilvl w:val="0"/>
          <w:numId w:val="16"/>
        </w:numPr>
        <w:jc w:val="both"/>
        <w:rPr>
          <w:lang w:val="uk-UA"/>
        </w:rPr>
      </w:pPr>
      <w:r w:rsidRPr="006B40C0">
        <w:rPr>
          <w:lang w:val="uk-UA"/>
        </w:rPr>
        <w:t xml:space="preserve">для </w:t>
      </w:r>
      <w:r w:rsidRPr="006B40C0">
        <w:rPr>
          <w:b/>
          <w:bCs/>
          <w:lang w:val="uk-UA"/>
        </w:rPr>
        <w:t>Громадської організації «Бучанська міська організація ветеранів Афганістану»</w:t>
      </w:r>
      <w:r w:rsidRPr="006B40C0">
        <w:rPr>
          <w:lang w:val="uk-UA"/>
        </w:rPr>
        <w:t xml:space="preserve"> в сумі 4,9 тис. грн.</w:t>
      </w:r>
    </w:p>
    <w:p w:rsidR="00FB14A8" w:rsidRDefault="00FB14A8" w:rsidP="00FB14A8">
      <w:pPr>
        <w:ind w:firstLine="709"/>
        <w:jc w:val="both"/>
        <w:rPr>
          <w:lang w:val="uk-UA"/>
        </w:rPr>
      </w:pPr>
      <w:r w:rsidRPr="00422343">
        <w:rPr>
          <w:b/>
          <w:lang w:val="uk-UA"/>
        </w:rPr>
        <w:t>По головному розпоряднику</w:t>
      </w:r>
      <w:r>
        <w:rPr>
          <w:b/>
          <w:lang w:val="uk-UA"/>
        </w:rPr>
        <w:t xml:space="preserve"> Відділу молоді та спорту Бучанської міської ради </w:t>
      </w:r>
      <w:r>
        <w:rPr>
          <w:lang w:val="uk-UA"/>
        </w:rPr>
        <w:t>виконання плану складає 87,8 % (уточнений план 148,5 тис. грн., касові видатки 130,4 тис. грн.)</w:t>
      </w:r>
      <w:r w:rsidRPr="00422343">
        <w:rPr>
          <w:lang w:val="uk-UA"/>
        </w:rPr>
        <w:t>.</w:t>
      </w:r>
      <w:r>
        <w:rPr>
          <w:color w:val="FF0000"/>
          <w:lang w:val="uk-UA"/>
        </w:rPr>
        <w:t xml:space="preserve"> </w:t>
      </w:r>
      <w:r w:rsidRPr="002F6B67">
        <w:rPr>
          <w:lang w:val="uk-UA"/>
        </w:rPr>
        <w:t xml:space="preserve">Видатки спрямовані на виплату </w:t>
      </w:r>
      <w:r>
        <w:rPr>
          <w:lang w:val="uk-UA"/>
        </w:rPr>
        <w:t>стипендії міського голови.</w:t>
      </w:r>
    </w:p>
    <w:p w:rsidR="00FB14A8" w:rsidRDefault="00FB14A8" w:rsidP="00FB14A8">
      <w:pPr>
        <w:jc w:val="both"/>
        <w:rPr>
          <w:lang w:val="uk-UA"/>
        </w:rPr>
      </w:pPr>
      <w:r>
        <w:rPr>
          <w:lang w:val="uk-UA"/>
        </w:rPr>
        <w:lastRenderedPageBreak/>
        <w:t xml:space="preserve">          Штатна чисельність Управління соціальної політики Бучанської міської ради складає 27,0 штатних одиниць.</w:t>
      </w:r>
    </w:p>
    <w:p w:rsidR="00FB14A8" w:rsidRDefault="00FB14A8" w:rsidP="00FB14A8">
      <w:pPr>
        <w:ind w:firstLine="709"/>
        <w:jc w:val="both"/>
        <w:rPr>
          <w:lang w:val="uk-UA"/>
        </w:rPr>
      </w:pPr>
      <w:r>
        <w:rPr>
          <w:lang w:val="uk-UA"/>
        </w:rPr>
        <w:t xml:space="preserve">Кредиторська заборгованість на кінець звітного періоду складає 506,8 тис. грн., з них: </w:t>
      </w:r>
    </w:p>
    <w:p w:rsidR="00FB14A8" w:rsidRDefault="00FB14A8" w:rsidP="00FB14A8">
      <w:pPr>
        <w:jc w:val="both"/>
        <w:rPr>
          <w:lang w:val="uk-UA"/>
        </w:rPr>
      </w:pPr>
      <w:r>
        <w:rPr>
          <w:lang w:val="uk-UA"/>
        </w:rPr>
        <w:t xml:space="preserve">на виплату заробітної плати та нарахувань на неї, термін якої ще не настав - 232,0 тис. грн. та інші виплати населенню - 274,8 тис. грн.   </w:t>
      </w:r>
    </w:p>
    <w:p w:rsidR="00FB14A8" w:rsidRPr="002F6B67" w:rsidRDefault="00FB14A8" w:rsidP="00FB14A8">
      <w:pPr>
        <w:ind w:firstLine="709"/>
        <w:jc w:val="both"/>
        <w:rPr>
          <w:lang w:val="uk-UA"/>
        </w:rPr>
      </w:pPr>
    </w:p>
    <w:p w:rsidR="00DD2B9D" w:rsidRDefault="00DD2B9D" w:rsidP="00F35CE3">
      <w:pPr>
        <w:ind w:firstLine="851"/>
        <w:jc w:val="center"/>
        <w:rPr>
          <w:b/>
          <w:i/>
          <w:sz w:val="26"/>
          <w:szCs w:val="26"/>
          <w:u w:val="single"/>
          <w:lang w:val="uk-UA"/>
        </w:rPr>
      </w:pPr>
      <w:r w:rsidRPr="00334C8A">
        <w:rPr>
          <w:b/>
          <w:i/>
          <w:sz w:val="26"/>
          <w:szCs w:val="26"/>
          <w:u w:val="single"/>
          <w:lang w:val="uk-UA"/>
        </w:rPr>
        <w:t xml:space="preserve">4000 </w:t>
      </w:r>
      <w:r w:rsidR="007450EE" w:rsidRPr="00334C8A">
        <w:rPr>
          <w:b/>
          <w:i/>
          <w:sz w:val="26"/>
          <w:szCs w:val="26"/>
          <w:u w:val="single"/>
          <w:lang w:val="uk-UA"/>
        </w:rPr>
        <w:t xml:space="preserve"> </w:t>
      </w:r>
      <w:r w:rsidRPr="00334C8A">
        <w:rPr>
          <w:b/>
          <w:i/>
          <w:sz w:val="26"/>
          <w:szCs w:val="26"/>
          <w:u w:val="single"/>
          <w:lang w:val="uk-UA"/>
        </w:rPr>
        <w:t>Культура та мистецтво</w:t>
      </w:r>
    </w:p>
    <w:p w:rsidR="00334C8A" w:rsidRPr="00881DAB" w:rsidRDefault="00334C8A" w:rsidP="00F35CE3">
      <w:pPr>
        <w:ind w:firstLine="851"/>
        <w:jc w:val="center"/>
        <w:rPr>
          <w:b/>
          <w:i/>
          <w:sz w:val="16"/>
          <w:szCs w:val="16"/>
          <w:u w:val="single"/>
          <w:lang w:val="uk-UA"/>
        </w:rPr>
      </w:pPr>
    </w:p>
    <w:p w:rsidR="00A5408E" w:rsidRDefault="00334C8A" w:rsidP="00A5408E">
      <w:pPr>
        <w:ind w:firstLine="851"/>
        <w:jc w:val="both"/>
        <w:rPr>
          <w:lang w:val="uk-UA"/>
        </w:rPr>
      </w:pPr>
      <w:r w:rsidRPr="001E06D2">
        <w:rPr>
          <w:lang w:val="uk-UA"/>
        </w:rPr>
        <w:t xml:space="preserve">Загальна сума видатків </w:t>
      </w:r>
      <w:r>
        <w:rPr>
          <w:lang w:val="uk-UA"/>
        </w:rPr>
        <w:t xml:space="preserve">місцевого бюджету </w:t>
      </w:r>
      <w:r w:rsidRPr="001E06D2">
        <w:rPr>
          <w:lang w:val="uk-UA"/>
        </w:rPr>
        <w:t xml:space="preserve">на фінансування галузі культури та мистецтва </w:t>
      </w:r>
      <w:r>
        <w:rPr>
          <w:lang w:val="uk-UA"/>
        </w:rPr>
        <w:t xml:space="preserve">Бучанської міської територіальної громади по загальному фонду складає 48,6%  </w:t>
      </w:r>
      <w:r>
        <w:rPr>
          <w:rFonts w:eastAsia="Calibri"/>
          <w:lang w:val="uk-UA"/>
        </w:rPr>
        <w:t>(уточнений план 5 834,6 тис. грн., касові видатки 2 835,8  тис. грн.) по спеціальному фонду (уточнений план 290,1 тис. грн., касові видатки 0,4 тис. грн.).</w:t>
      </w:r>
      <w:r w:rsidR="00A5408E" w:rsidRPr="00A5408E">
        <w:rPr>
          <w:lang w:val="uk-UA"/>
        </w:rPr>
        <w:t xml:space="preserve"> </w:t>
      </w:r>
      <w:r w:rsidR="000A2142" w:rsidRPr="009A12E0">
        <w:rPr>
          <w:lang w:val="uk-UA"/>
        </w:rPr>
        <w:t>Відповідно до минулого періоду 2020 року видатки загального фонду з</w:t>
      </w:r>
      <w:r w:rsidR="008D528B">
        <w:rPr>
          <w:lang w:val="uk-UA"/>
        </w:rPr>
        <w:t>менш</w:t>
      </w:r>
      <w:r w:rsidR="000A2142">
        <w:rPr>
          <w:lang w:val="uk-UA"/>
        </w:rPr>
        <w:t>ені</w:t>
      </w:r>
      <w:r w:rsidR="000A2142" w:rsidRPr="009A12E0">
        <w:rPr>
          <w:lang w:val="uk-UA"/>
        </w:rPr>
        <w:t xml:space="preserve"> на </w:t>
      </w:r>
      <w:r w:rsidR="008D528B">
        <w:rPr>
          <w:lang w:val="uk-UA"/>
        </w:rPr>
        <w:t>514,4</w:t>
      </w:r>
      <w:r w:rsidR="000A2142" w:rsidRPr="009A12E0">
        <w:rPr>
          <w:lang w:val="uk-UA"/>
        </w:rPr>
        <w:t xml:space="preserve"> тис. грн., або на </w:t>
      </w:r>
      <w:r w:rsidR="008D528B">
        <w:rPr>
          <w:lang w:val="uk-UA"/>
        </w:rPr>
        <w:t>15,3</w:t>
      </w:r>
      <w:r w:rsidR="000A2142" w:rsidRPr="009A12E0">
        <w:rPr>
          <w:lang w:val="uk-UA"/>
        </w:rPr>
        <w:t xml:space="preserve"> %. </w:t>
      </w:r>
      <w:r w:rsidR="000A2142">
        <w:rPr>
          <w:lang w:val="uk-UA"/>
        </w:rPr>
        <w:t>Зменшення видаткової частини зумовлено введенням карантинних</w:t>
      </w:r>
      <w:r w:rsidR="00F817BB">
        <w:rPr>
          <w:lang w:val="uk-UA"/>
        </w:rPr>
        <w:t xml:space="preserve"> заходів</w:t>
      </w:r>
      <w:r w:rsidR="000A2142">
        <w:rPr>
          <w:lang w:val="uk-UA"/>
        </w:rPr>
        <w:t xml:space="preserve">. </w:t>
      </w:r>
      <w:r w:rsidR="000A2142" w:rsidRPr="001852EF">
        <w:rPr>
          <w:lang w:val="uk-UA"/>
        </w:rPr>
        <w:t xml:space="preserve">Видатки спеціального фонду зменшені на </w:t>
      </w:r>
      <w:r w:rsidR="00B142F5">
        <w:rPr>
          <w:lang w:val="uk-UA"/>
        </w:rPr>
        <w:t>139,2</w:t>
      </w:r>
      <w:r w:rsidR="000A2142">
        <w:rPr>
          <w:lang w:val="uk-UA"/>
        </w:rPr>
        <w:t xml:space="preserve"> </w:t>
      </w:r>
      <w:r w:rsidR="000A2142" w:rsidRPr="001852EF">
        <w:rPr>
          <w:lang w:val="uk-UA"/>
        </w:rPr>
        <w:t xml:space="preserve">тис. грн, або на </w:t>
      </w:r>
      <w:r w:rsidR="00B142F5">
        <w:rPr>
          <w:lang w:val="uk-UA"/>
        </w:rPr>
        <w:t>99,7</w:t>
      </w:r>
      <w:r w:rsidR="000A2142" w:rsidRPr="001852EF">
        <w:rPr>
          <w:lang w:val="uk-UA"/>
        </w:rPr>
        <w:t xml:space="preserve"> %. </w:t>
      </w:r>
    </w:p>
    <w:p w:rsidR="00334C8A" w:rsidRPr="00887D4A" w:rsidRDefault="00334C8A" w:rsidP="00334C8A">
      <w:pPr>
        <w:autoSpaceDE w:val="0"/>
        <w:autoSpaceDN w:val="0"/>
        <w:adjustRightInd w:val="0"/>
        <w:ind w:firstLine="709"/>
        <w:jc w:val="both"/>
        <w:rPr>
          <w:rFonts w:eastAsia="Calibri"/>
          <w:sz w:val="16"/>
          <w:szCs w:val="16"/>
          <w:lang w:val="uk-UA"/>
        </w:rPr>
      </w:pPr>
    </w:p>
    <w:p w:rsidR="00334C8A" w:rsidRDefault="00334C8A" w:rsidP="00334C8A">
      <w:pPr>
        <w:autoSpaceDE w:val="0"/>
        <w:autoSpaceDN w:val="0"/>
        <w:adjustRightInd w:val="0"/>
        <w:ind w:firstLine="709"/>
        <w:jc w:val="both"/>
        <w:rPr>
          <w:rFonts w:eastAsia="Calibri"/>
          <w:b/>
          <w:i/>
          <w:sz w:val="25"/>
          <w:szCs w:val="25"/>
          <w:lang w:val="uk-UA"/>
        </w:rPr>
      </w:pPr>
      <w:r w:rsidRPr="00887D4A">
        <w:rPr>
          <w:rFonts w:eastAsia="Calibri"/>
          <w:b/>
          <w:i/>
          <w:sz w:val="25"/>
          <w:szCs w:val="25"/>
          <w:lang w:val="uk-UA"/>
        </w:rPr>
        <w:t>Загальний фонд</w:t>
      </w:r>
    </w:p>
    <w:p w:rsidR="00887D4A" w:rsidRPr="00887D4A" w:rsidRDefault="00887D4A" w:rsidP="00334C8A">
      <w:pPr>
        <w:autoSpaceDE w:val="0"/>
        <w:autoSpaceDN w:val="0"/>
        <w:adjustRightInd w:val="0"/>
        <w:ind w:firstLine="709"/>
        <w:jc w:val="both"/>
        <w:rPr>
          <w:b/>
          <w:i/>
          <w:sz w:val="16"/>
          <w:szCs w:val="16"/>
          <w:lang w:val="uk-UA"/>
        </w:rPr>
      </w:pPr>
    </w:p>
    <w:p w:rsidR="00334C8A" w:rsidRDefault="00334C8A" w:rsidP="00334C8A">
      <w:pPr>
        <w:ind w:firstLine="709"/>
        <w:jc w:val="both"/>
        <w:rPr>
          <w:lang w:val="uk-UA"/>
        </w:rPr>
      </w:pPr>
      <w:r w:rsidRPr="00002303">
        <w:rPr>
          <w:lang w:val="uk-UA"/>
        </w:rPr>
        <w:t xml:space="preserve">Дані кошти передбачені на фінансування </w:t>
      </w:r>
      <w:r>
        <w:rPr>
          <w:lang w:val="uk-UA"/>
        </w:rPr>
        <w:t>10</w:t>
      </w:r>
      <w:r w:rsidRPr="00002303">
        <w:rPr>
          <w:lang w:val="uk-UA"/>
        </w:rPr>
        <w:t xml:space="preserve"> бібліотек, </w:t>
      </w:r>
      <w:r>
        <w:rPr>
          <w:lang w:val="uk-UA"/>
        </w:rPr>
        <w:t>12</w:t>
      </w:r>
      <w:r w:rsidRPr="00002303">
        <w:rPr>
          <w:lang w:val="uk-UA"/>
        </w:rPr>
        <w:t xml:space="preserve"> будинків культури, </w:t>
      </w:r>
      <w:r>
        <w:rPr>
          <w:lang w:val="uk-UA"/>
        </w:rPr>
        <w:t>керівництво відділу культури, національностей та релігій та на</w:t>
      </w:r>
      <w:r w:rsidRPr="00002303">
        <w:rPr>
          <w:lang w:val="uk-UA"/>
        </w:rPr>
        <w:t xml:space="preserve"> проведення заходів в області культури і мистецтва</w:t>
      </w:r>
      <w:r>
        <w:rPr>
          <w:lang w:val="uk-UA"/>
        </w:rPr>
        <w:t>.</w:t>
      </w:r>
    </w:p>
    <w:p w:rsidR="00334C8A" w:rsidRDefault="00334C8A" w:rsidP="00334C8A">
      <w:pPr>
        <w:ind w:firstLine="709"/>
        <w:jc w:val="both"/>
        <w:rPr>
          <w:lang w:val="uk-UA"/>
        </w:rPr>
      </w:pPr>
      <w:r>
        <w:rPr>
          <w:lang w:val="uk-UA"/>
        </w:rPr>
        <w:t>За економічною класифікацією видатків кошти направлені на:</w:t>
      </w:r>
    </w:p>
    <w:p w:rsidR="006E0D67" w:rsidRDefault="006E0D67" w:rsidP="006E0D67">
      <w:pPr>
        <w:numPr>
          <w:ilvl w:val="0"/>
          <w:numId w:val="16"/>
        </w:numPr>
        <w:tabs>
          <w:tab w:val="clear" w:pos="960"/>
          <w:tab w:val="num" w:pos="600"/>
        </w:tabs>
        <w:ind w:left="0" w:firstLine="600"/>
        <w:jc w:val="both"/>
        <w:rPr>
          <w:lang w:val="uk-UA"/>
        </w:rPr>
      </w:pPr>
      <w:r>
        <w:rPr>
          <w:lang w:val="uk-UA"/>
        </w:rPr>
        <w:t>на заробітну плату та нарахування на неї – 1 668,1 тис. грн.;</w:t>
      </w:r>
    </w:p>
    <w:p w:rsidR="006E0D67" w:rsidRDefault="006E0D67" w:rsidP="006E0D67">
      <w:pPr>
        <w:numPr>
          <w:ilvl w:val="0"/>
          <w:numId w:val="16"/>
        </w:numPr>
        <w:tabs>
          <w:tab w:val="clear" w:pos="960"/>
          <w:tab w:val="num" w:pos="600"/>
        </w:tabs>
        <w:ind w:left="0" w:firstLine="600"/>
        <w:jc w:val="both"/>
        <w:rPr>
          <w:lang w:val="uk-UA"/>
        </w:rPr>
      </w:pPr>
      <w:r>
        <w:rPr>
          <w:lang w:val="uk-UA"/>
        </w:rPr>
        <w:t>на оплату комунальних послуг – 681,4 тис. грн.,</w:t>
      </w:r>
    </w:p>
    <w:p w:rsidR="006E0D67" w:rsidRDefault="006E0D67" w:rsidP="006E0D67">
      <w:pPr>
        <w:numPr>
          <w:ilvl w:val="0"/>
          <w:numId w:val="16"/>
        </w:numPr>
        <w:tabs>
          <w:tab w:val="clear" w:pos="960"/>
          <w:tab w:val="num" w:pos="600"/>
        </w:tabs>
        <w:ind w:left="0" w:firstLine="600"/>
        <w:jc w:val="both"/>
        <w:rPr>
          <w:lang w:val="uk-UA"/>
        </w:rPr>
      </w:pPr>
      <w:r>
        <w:rPr>
          <w:lang w:val="uk-UA"/>
        </w:rPr>
        <w:t>на окремі заходи по реалізації державних(регіональних) програм, не віднесені до заходів розвитку – 335,7 тис. грн.;</w:t>
      </w:r>
    </w:p>
    <w:p w:rsidR="006E0D67" w:rsidRDefault="006E0D67" w:rsidP="006E0D67">
      <w:pPr>
        <w:numPr>
          <w:ilvl w:val="0"/>
          <w:numId w:val="16"/>
        </w:numPr>
        <w:tabs>
          <w:tab w:val="clear" w:pos="960"/>
          <w:tab w:val="num" w:pos="600"/>
        </w:tabs>
        <w:ind w:left="0" w:firstLine="600"/>
        <w:jc w:val="both"/>
        <w:rPr>
          <w:lang w:val="uk-UA"/>
        </w:rPr>
      </w:pPr>
      <w:r>
        <w:rPr>
          <w:lang w:val="uk-UA"/>
        </w:rPr>
        <w:t>на предмети, матеріали, обладнання та інвентар – 83,7 тис. грн.;</w:t>
      </w:r>
    </w:p>
    <w:p w:rsidR="006E0D67" w:rsidRPr="00121F59" w:rsidRDefault="006E0D67" w:rsidP="006E0D67">
      <w:pPr>
        <w:numPr>
          <w:ilvl w:val="0"/>
          <w:numId w:val="16"/>
        </w:numPr>
        <w:tabs>
          <w:tab w:val="clear" w:pos="960"/>
          <w:tab w:val="num" w:pos="600"/>
        </w:tabs>
        <w:ind w:left="0" w:firstLine="600"/>
        <w:jc w:val="both"/>
        <w:rPr>
          <w:lang w:val="uk-UA"/>
        </w:rPr>
      </w:pPr>
      <w:r w:rsidRPr="00121F59">
        <w:rPr>
          <w:lang w:val="uk-UA"/>
        </w:rPr>
        <w:t>на виплати населенню – 54,7 тис. грн.,</w:t>
      </w:r>
    </w:p>
    <w:p w:rsidR="006E0D67" w:rsidRDefault="006E0D67" w:rsidP="006E0D67">
      <w:pPr>
        <w:numPr>
          <w:ilvl w:val="0"/>
          <w:numId w:val="16"/>
        </w:numPr>
        <w:tabs>
          <w:tab w:val="clear" w:pos="960"/>
          <w:tab w:val="num" w:pos="600"/>
        </w:tabs>
        <w:ind w:left="0" w:firstLine="600"/>
        <w:jc w:val="both"/>
        <w:rPr>
          <w:lang w:val="uk-UA"/>
        </w:rPr>
      </w:pPr>
      <w:r>
        <w:rPr>
          <w:lang w:val="uk-UA"/>
        </w:rPr>
        <w:t xml:space="preserve"> на оплату послуг ( крім комунальних) – 12,2 тис. грн.</w:t>
      </w:r>
    </w:p>
    <w:p w:rsidR="007A39C4" w:rsidRDefault="007A39C4" w:rsidP="007A39C4">
      <w:pPr>
        <w:ind w:left="600"/>
        <w:jc w:val="both"/>
        <w:rPr>
          <w:lang w:val="uk-UA"/>
        </w:rPr>
      </w:pPr>
    </w:p>
    <w:p w:rsidR="00F448A4" w:rsidRPr="00F448A4" w:rsidRDefault="00F448A4" w:rsidP="00F448A4">
      <w:pPr>
        <w:ind w:left="600"/>
        <w:jc w:val="both"/>
        <w:rPr>
          <w:sz w:val="10"/>
          <w:szCs w:val="10"/>
          <w:lang w:val="uk-UA"/>
        </w:rPr>
      </w:pPr>
    </w:p>
    <w:p w:rsidR="00334C8A" w:rsidRPr="00BD3374" w:rsidRDefault="00334C8A" w:rsidP="00334C8A">
      <w:pPr>
        <w:jc w:val="both"/>
        <w:rPr>
          <w:sz w:val="16"/>
          <w:szCs w:val="16"/>
          <w:lang w:val="uk-UA"/>
        </w:rPr>
      </w:pPr>
      <w:r>
        <w:rPr>
          <w:noProof/>
          <w:lang w:val="uk-UA" w:eastAsia="uk-UA"/>
        </w:rPr>
        <w:drawing>
          <wp:inline distT="0" distB="0" distL="0" distR="0" wp14:anchorId="64DB412F" wp14:editId="4A609252">
            <wp:extent cx="6210300" cy="2897505"/>
            <wp:effectExtent l="0" t="0" r="0" b="17145"/>
            <wp:docPr id="18" name="Діагра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C36908" w:rsidRPr="00506078" w:rsidRDefault="00C36908" w:rsidP="00334C8A">
      <w:pPr>
        <w:ind w:firstLine="709"/>
        <w:jc w:val="both"/>
        <w:rPr>
          <w:sz w:val="10"/>
          <w:szCs w:val="10"/>
          <w:lang w:val="uk-UA"/>
        </w:rPr>
      </w:pPr>
    </w:p>
    <w:p w:rsidR="00334C8A" w:rsidRDefault="00334C8A" w:rsidP="00334C8A">
      <w:pPr>
        <w:ind w:firstLine="709"/>
        <w:jc w:val="both"/>
        <w:rPr>
          <w:lang w:val="uk-UA"/>
        </w:rPr>
      </w:pPr>
      <w:r w:rsidRPr="00864B0D">
        <w:rPr>
          <w:lang w:val="uk-UA"/>
        </w:rPr>
        <w:t xml:space="preserve">По головних розпорядниках </w:t>
      </w:r>
      <w:r>
        <w:rPr>
          <w:lang w:val="uk-UA"/>
        </w:rPr>
        <w:t xml:space="preserve">бюджетних </w:t>
      </w:r>
      <w:r w:rsidRPr="00864B0D">
        <w:rPr>
          <w:lang w:val="uk-UA"/>
        </w:rPr>
        <w:t xml:space="preserve">коштів видатки </w:t>
      </w:r>
      <w:r>
        <w:rPr>
          <w:lang w:val="uk-UA"/>
        </w:rPr>
        <w:t xml:space="preserve">розподіляються між: </w:t>
      </w:r>
    </w:p>
    <w:p w:rsidR="00334C8A" w:rsidRDefault="00334C8A" w:rsidP="00334C8A">
      <w:pPr>
        <w:numPr>
          <w:ilvl w:val="0"/>
          <w:numId w:val="1"/>
        </w:numPr>
        <w:jc w:val="both"/>
        <w:rPr>
          <w:lang w:val="uk-UA"/>
        </w:rPr>
      </w:pPr>
      <w:r>
        <w:rPr>
          <w:lang w:val="uk-UA"/>
        </w:rPr>
        <w:t>Бучанська міська рада –</w:t>
      </w:r>
      <w:r w:rsidR="00BD246D">
        <w:rPr>
          <w:lang w:val="uk-UA"/>
        </w:rPr>
        <w:t xml:space="preserve"> </w:t>
      </w:r>
      <w:r w:rsidR="00EF2343">
        <w:rPr>
          <w:lang w:val="uk-UA"/>
        </w:rPr>
        <w:t>62,5</w:t>
      </w:r>
      <w:r>
        <w:rPr>
          <w:lang w:val="uk-UA"/>
        </w:rPr>
        <w:t xml:space="preserve"> тис. грн.;</w:t>
      </w:r>
    </w:p>
    <w:p w:rsidR="00334C8A" w:rsidRDefault="00334C8A" w:rsidP="00334C8A">
      <w:pPr>
        <w:numPr>
          <w:ilvl w:val="0"/>
          <w:numId w:val="1"/>
        </w:numPr>
        <w:jc w:val="both"/>
        <w:rPr>
          <w:lang w:val="uk-UA"/>
        </w:rPr>
      </w:pPr>
      <w:r>
        <w:rPr>
          <w:lang w:val="uk-UA"/>
        </w:rPr>
        <w:t xml:space="preserve">Відділ культури, національностей та релігії – </w:t>
      </w:r>
      <w:r w:rsidR="00EF2343">
        <w:rPr>
          <w:lang w:val="uk-UA"/>
        </w:rPr>
        <w:t>2 773,7</w:t>
      </w:r>
      <w:r>
        <w:rPr>
          <w:lang w:val="uk-UA"/>
        </w:rPr>
        <w:t xml:space="preserve"> тис. грн.</w:t>
      </w:r>
    </w:p>
    <w:p w:rsidR="00334C8A" w:rsidRDefault="00334C8A" w:rsidP="00334C8A">
      <w:pPr>
        <w:ind w:firstLine="709"/>
        <w:jc w:val="both"/>
        <w:rPr>
          <w:lang w:val="uk-UA"/>
        </w:rPr>
      </w:pPr>
      <w:r w:rsidRPr="00A576B4">
        <w:rPr>
          <w:b/>
          <w:lang w:val="uk-UA"/>
        </w:rPr>
        <w:t>По головному розпоряднику коштів Бучанська міська рада</w:t>
      </w:r>
      <w:r>
        <w:rPr>
          <w:lang w:val="uk-UA"/>
        </w:rPr>
        <w:t xml:space="preserve"> за бюджетною програмою 4082 «</w:t>
      </w:r>
      <w:r w:rsidR="00C36908">
        <w:rPr>
          <w:lang w:val="uk-UA"/>
        </w:rPr>
        <w:t xml:space="preserve"> </w:t>
      </w:r>
      <w:r>
        <w:rPr>
          <w:lang w:val="uk-UA"/>
        </w:rPr>
        <w:t>Інші заходи в галузі культури та мистецтва</w:t>
      </w:r>
      <w:r w:rsidR="00C36908">
        <w:rPr>
          <w:lang w:val="uk-UA"/>
        </w:rPr>
        <w:t xml:space="preserve"> </w:t>
      </w:r>
      <w:r>
        <w:rPr>
          <w:lang w:val="uk-UA"/>
        </w:rPr>
        <w:t>» виконання плану складає              31,2 % (уточнений план 200,0 тис. грн., касові видатки 62,5 тис. грн.)</w:t>
      </w:r>
      <w:r w:rsidRPr="00422343">
        <w:rPr>
          <w:lang w:val="uk-UA"/>
        </w:rPr>
        <w:t>.</w:t>
      </w:r>
    </w:p>
    <w:p w:rsidR="00334C8A" w:rsidRDefault="00334C8A" w:rsidP="00334C8A">
      <w:pPr>
        <w:autoSpaceDE w:val="0"/>
        <w:autoSpaceDN w:val="0"/>
        <w:adjustRightInd w:val="0"/>
        <w:ind w:firstLine="709"/>
        <w:jc w:val="both"/>
        <w:rPr>
          <w:lang w:val="uk-UA"/>
        </w:rPr>
      </w:pPr>
      <w:r w:rsidRPr="000C3AE3">
        <w:rPr>
          <w:b/>
          <w:lang w:val="uk-UA"/>
        </w:rPr>
        <w:t xml:space="preserve">По головному розпоряднику бюджетних коштів Відділ культури, національностей та релігій </w:t>
      </w:r>
      <w:r>
        <w:rPr>
          <w:lang w:val="uk-UA"/>
        </w:rPr>
        <w:t>у</w:t>
      </w:r>
      <w:r w:rsidRPr="001349B1">
        <w:rPr>
          <w:lang w:val="uk-UA"/>
        </w:rPr>
        <w:t xml:space="preserve"> розрізі бюджетних програм видатки складають:</w:t>
      </w:r>
    </w:p>
    <w:p w:rsidR="00334C8A" w:rsidRDefault="00334C8A" w:rsidP="00334C8A">
      <w:pPr>
        <w:ind w:firstLine="709"/>
        <w:jc w:val="both"/>
        <w:rPr>
          <w:lang w:val="uk-UA"/>
        </w:rPr>
      </w:pPr>
      <w:r w:rsidRPr="003B7195">
        <w:rPr>
          <w:lang w:val="uk-UA"/>
        </w:rPr>
        <w:lastRenderedPageBreak/>
        <w:t xml:space="preserve">За бюджетною програмою 4030 «Забезпечення діяльності бібліотек» </w:t>
      </w:r>
      <w:r>
        <w:rPr>
          <w:lang w:val="uk-UA"/>
        </w:rPr>
        <w:t>виконання плану складає 50,6 % (уточнений план 1 101,0 тис. грн., касові видатки 557,6 тис. грн.)</w:t>
      </w:r>
      <w:r w:rsidRPr="00422343">
        <w:rPr>
          <w:lang w:val="uk-UA"/>
        </w:rPr>
        <w:t>.</w:t>
      </w:r>
    </w:p>
    <w:p w:rsidR="00334C8A" w:rsidRDefault="00334C8A" w:rsidP="00334C8A">
      <w:pPr>
        <w:ind w:firstLine="709"/>
        <w:jc w:val="both"/>
        <w:rPr>
          <w:lang w:val="uk-UA"/>
        </w:rPr>
      </w:pPr>
      <w:r w:rsidRPr="0027697B">
        <w:rPr>
          <w:lang w:val="uk-UA"/>
        </w:rPr>
        <w:t xml:space="preserve">За бюджетною програмою 4060 «Забезпечення діяльності палаців і будинків культури, клубів, центрів дозвілля та інших клубних закладів» </w:t>
      </w:r>
      <w:r>
        <w:rPr>
          <w:lang w:val="uk-UA"/>
        </w:rPr>
        <w:t>виконання плану складає 49,3%  (уточнений план 3 453,3 тис. грн., касові видатки 1 700,6 тис. грн.)</w:t>
      </w:r>
      <w:r w:rsidRPr="00422343">
        <w:rPr>
          <w:lang w:val="uk-UA"/>
        </w:rPr>
        <w:t>.</w:t>
      </w:r>
    </w:p>
    <w:p w:rsidR="00334C8A" w:rsidRDefault="00334C8A" w:rsidP="00334C8A">
      <w:pPr>
        <w:ind w:firstLine="709"/>
        <w:jc w:val="both"/>
        <w:rPr>
          <w:lang w:val="uk-UA"/>
        </w:rPr>
      </w:pPr>
      <w:r w:rsidRPr="001B74E6">
        <w:rPr>
          <w:lang w:val="uk-UA"/>
        </w:rPr>
        <w:t xml:space="preserve">За бюджетною програмою 4081 «Забезпечення діяльності інших закладів в галузі культури і мистецтва» </w:t>
      </w:r>
      <w:r>
        <w:rPr>
          <w:lang w:val="uk-UA"/>
        </w:rPr>
        <w:t>виконання плану складає 61,7 % (уточнений план 303,5 тис. грн., касові видатки 187,3 тис. грн.)</w:t>
      </w:r>
      <w:r w:rsidRPr="00422343">
        <w:rPr>
          <w:lang w:val="uk-UA"/>
        </w:rPr>
        <w:t>.</w:t>
      </w:r>
    </w:p>
    <w:p w:rsidR="00334C8A" w:rsidRDefault="00334C8A" w:rsidP="00334C8A">
      <w:pPr>
        <w:ind w:firstLine="709"/>
        <w:jc w:val="both"/>
        <w:rPr>
          <w:lang w:val="uk-UA"/>
        </w:rPr>
      </w:pPr>
      <w:r>
        <w:rPr>
          <w:lang w:val="uk-UA"/>
        </w:rPr>
        <w:t>За бюджетною програмою 4082 «Інші заходи в галузі культури і мистецтва» виконання плану складає 95,6 % (уточнений план 342,8 тис. грн., касові видатки 327,9 тис. грн.)</w:t>
      </w:r>
      <w:r w:rsidRPr="00422343">
        <w:rPr>
          <w:lang w:val="uk-UA"/>
        </w:rPr>
        <w:t>.</w:t>
      </w:r>
    </w:p>
    <w:p w:rsidR="00334C8A" w:rsidRPr="00506078" w:rsidRDefault="00334C8A" w:rsidP="00334C8A">
      <w:pPr>
        <w:ind w:firstLine="709"/>
        <w:jc w:val="both"/>
        <w:rPr>
          <w:b/>
          <w:i/>
          <w:sz w:val="10"/>
          <w:szCs w:val="10"/>
          <w:lang w:val="uk-UA"/>
        </w:rPr>
      </w:pPr>
    </w:p>
    <w:p w:rsidR="00334C8A" w:rsidRPr="000E7779" w:rsidRDefault="00334C8A" w:rsidP="00334C8A">
      <w:pPr>
        <w:ind w:firstLine="709"/>
        <w:jc w:val="both"/>
        <w:rPr>
          <w:b/>
          <w:i/>
          <w:sz w:val="25"/>
          <w:szCs w:val="25"/>
          <w:lang w:val="uk-UA"/>
        </w:rPr>
      </w:pPr>
      <w:r w:rsidRPr="000E7779">
        <w:rPr>
          <w:b/>
          <w:i/>
          <w:sz w:val="25"/>
          <w:szCs w:val="25"/>
          <w:lang w:val="uk-UA"/>
        </w:rPr>
        <w:t>Спеціальний фонд</w:t>
      </w:r>
    </w:p>
    <w:p w:rsidR="00DF0B16" w:rsidRPr="00506078" w:rsidRDefault="00DF0B16" w:rsidP="00334C8A">
      <w:pPr>
        <w:ind w:firstLine="709"/>
        <w:jc w:val="both"/>
        <w:rPr>
          <w:b/>
          <w:i/>
          <w:sz w:val="10"/>
          <w:szCs w:val="10"/>
          <w:lang w:val="uk-UA"/>
        </w:rPr>
      </w:pPr>
    </w:p>
    <w:p w:rsidR="00334C8A" w:rsidRDefault="00334C8A" w:rsidP="00334C8A">
      <w:pPr>
        <w:ind w:firstLine="709"/>
        <w:jc w:val="both"/>
        <w:rPr>
          <w:lang w:val="uk-UA"/>
        </w:rPr>
      </w:pPr>
      <w:r>
        <w:rPr>
          <w:lang w:val="uk-UA"/>
        </w:rPr>
        <w:t>Видатки спеціального фонду,</w:t>
      </w:r>
      <w:r w:rsidRPr="00AF446E">
        <w:rPr>
          <w:lang w:val="uk-UA"/>
        </w:rPr>
        <w:t xml:space="preserve"> </w:t>
      </w:r>
      <w:r>
        <w:rPr>
          <w:lang w:val="uk-UA"/>
        </w:rPr>
        <w:t xml:space="preserve">в тому числі за рахунок </w:t>
      </w:r>
      <w:r w:rsidRPr="004A33B2">
        <w:rPr>
          <w:u w:val="single"/>
          <w:lang w:val="uk-UA"/>
        </w:rPr>
        <w:t>платних послуг</w:t>
      </w:r>
      <w:r>
        <w:rPr>
          <w:lang w:val="uk-UA"/>
        </w:rPr>
        <w:t xml:space="preserve">, що надаються бюджетними установами в галузі </w:t>
      </w:r>
      <w:r w:rsidRPr="001E06D2">
        <w:rPr>
          <w:lang w:val="uk-UA"/>
        </w:rPr>
        <w:t xml:space="preserve">культури та мистецтва </w:t>
      </w:r>
      <w:r>
        <w:rPr>
          <w:lang w:val="uk-UA"/>
        </w:rPr>
        <w:t>Бучанської міської територіальної громади за І квартал 2021 року склали 0,4 тис. грн., які спрямовані на інші поточні видатки.</w:t>
      </w:r>
    </w:p>
    <w:p w:rsidR="00334C8A" w:rsidRPr="000E7779" w:rsidRDefault="00334C8A" w:rsidP="00334C8A">
      <w:pPr>
        <w:ind w:firstLine="709"/>
        <w:jc w:val="both"/>
        <w:rPr>
          <w:sz w:val="16"/>
          <w:szCs w:val="16"/>
          <w:lang w:val="uk-UA"/>
        </w:rPr>
      </w:pPr>
    </w:p>
    <w:p w:rsidR="00334C8A" w:rsidRPr="00FF0B17" w:rsidRDefault="00334C8A" w:rsidP="00334C8A">
      <w:pPr>
        <w:ind w:firstLine="709"/>
        <w:jc w:val="both"/>
        <w:rPr>
          <w:lang w:val="uk-UA"/>
        </w:rPr>
      </w:pPr>
      <w:r>
        <w:rPr>
          <w:lang w:val="uk-UA"/>
        </w:rPr>
        <w:t>Штатна чисельність В</w:t>
      </w:r>
      <w:r w:rsidRPr="00FF0B17">
        <w:rPr>
          <w:lang w:val="uk-UA"/>
        </w:rPr>
        <w:t>ідділу культури, національностей та релігій</w:t>
      </w:r>
      <w:r>
        <w:rPr>
          <w:lang w:val="uk-UA"/>
        </w:rPr>
        <w:t xml:space="preserve"> Бучанської міської ради</w:t>
      </w:r>
      <w:r w:rsidRPr="00FF0B17">
        <w:rPr>
          <w:lang w:val="uk-UA"/>
        </w:rPr>
        <w:t xml:space="preserve"> </w:t>
      </w:r>
      <w:r>
        <w:rPr>
          <w:lang w:val="uk-UA"/>
        </w:rPr>
        <w:t>складає</w:t>
      </w:r>
      <w:r w:rsidRPr="00FF0B17">
        <w:rPr>
          <w:lang w:val="uk-UA"/>
        </w:rPr>
        <w:t xml:space="preserve"> </w:t>
      </w:r>
      <w:r>
        <w:rPr>
          <w:lang w:val="uk-UA"/>
        </w:rPr>
        <w:t>104,5</w:t>
      </w:r>
      <w:r w:rsidRPr="00FF0B17">
        <w:rPr>
          <w:lang w:val="uk-UA"/>
        </w:rPr>
        <w:t xml:space="preserve"> штатних одиниц</w:t>
      </w:r>
      <w:r>
        <w:rPr>
          <w:lang w:val="uk-UA"/>
        </w:rPr>
        <w:t>ь</w:t>
      </w:r>
      <w:r w:rsidRPr="00FF0B17">
        <w:rPr>
          <w:lang w:val="uk-UA"/>
        </w:rPr>
        <w:t>.</w:t>
      </w:r>
    </w:p>
    <w:p w:rsidR="00334C8A" w:rsidRDefault="00334C8A" w:rsidP="00334C8A">
      <w:pPr>
        <w:ind w:firstLine="709"/>
        <w:jc w:val="both"/>
        <w:rPr>
          <w:lang w:val="uk-UA"/>
        </w:rPr>
      </w:pPr>
      <w:r>
        <w:rPr>
          <w:lang w:val="uk-UA"/>
        </w:rPr>
        <w:t xml:space="preserve">Кредиторська заборгованість на кінець звітного періоду складає 528,6 тис. грн., з них: на виплату заробітної плати та нарахувань на неї, термін якої ще не настав – 509,9 тис. грн., оплату послуг (крім комунальних) та предмети, матеріали, обладнання та інвентар – 4,5 тис. грн., оплата комунальних послуг та енергоносіїв – 14,2 тис. грн.   </w:t>
      </w:r>
    </w:p>
    <w:p w:rsidR="00A85CCE" w:rsidRPr="00506078" w:rsidRDefault="00A85CCE" w:rsidP="00F35CE3">
      <w:pPr>
        <w:ind w:firstLine="851"/>
        <w:jc w:val="center"/>
        <w:rPr>
          <w:b/>
          <w:i/>
          <w:sz w:val="10"/>
          <w:szCs w:val="10"/>
          <w:u w:val="single"/>
          <w:lang w:val="uk-UA"/>
        </w:rPr>
      </w:pPr>
    </w:p>
    <w:p w:rsidR="007A39C4" w:rsidRDefault="007A39C4" w:rsidP="003E528D">
      <w:pPr>
        <w:pStyle w:val="a4"/>
        <w:spacing w:after="0"/>
        <w:ind w:left="0" w:firstLine="709"/>
        <w:jc w:val="center"/>
        <w:rPr>
          <w:b/>
          <w:bCs/>
          <w:i/>
          <w:sz w:val="26"/>
          <w:szCs w:val="26"/>
          <w:u w:val="single"/>
          <w:lang w:val="uk-UA"/>
        </w:rPr>
      </w:pPr>
    </w:p>
    <w:p w:rsidR="0076257E" w:rsidRPr="00507C89" w:rsidRDefault="0076257E" w:rsidP="003E528D">
      <w:pPr>
        <w:pStyle w:val="a4"/>
        <w:spacing w:after="0"/>
        <w:ind w:left="0" w:firstLine="709"/>
        <w:jc w:val="center"/>
        <w:rPr>
          <w:b/>
          <w:bCs/>
          <w:i/>
          <w:sz w:val="26"/>
          <w:szCs w:val="26"/>
          <w:u w:val="single"/>
          <w:lang w:val="uk-UA"/>
        </w:rPr>
      </w:pPr>
      <w:r w:rsidRPr="00507C89">
        <w:rPr>
          <w:b/>
          <w:bCs/>
          <w:i/>
          <w:sz w:val="26"/>
          <w:szCs w:val="26"/>
          <w:u w:val="single"/>
          <w:lang w:val="uk-UA"/>
        </w:rPr>
        <w:t>5000 Фізична культура і спорт</w:t>
      </w:r>
    </w:p>
    <w:p w:rsidR="000F76BA" w:rsidRDefault="000F76BA" w:rsidP="003E528D">
      <w:pPr>
        <w:pStyle w:val="a4"/>
        <w:spacing w:after="0"/>
        <w:ind w:left="0" w:firstLine="709"/>
        <w:jc w:val="center"/>
        <w:rPr>
          <w:b/>
          <w:bCs/>
          <w:i/>
          <w:color w:val="FF0000"/>
          <w:sz w:val="10"/>
          <w:szCs w:val="10"/>
          <w:u w:val="single"/>
          <w:lang w:val="uk-UA"/>
        </w:rPr>
      </w:pPr>
    </w:p>
    <w:p w:rsidR="007A39C4" w:rsidRPr="00506078" w:rsidRDefault="007A39C4" w:rsidP="003E528D">
      <w:pPr>
        <w:pStyle w:val="a4"/>
        <w:spacing w:after="0"/>
        <w:ind w:left="0" w:firstLine="709"/>
        <w:jc w:val="center"/>
        <w:rPr>
          <w:b/>
          <w:bCs/>
          <w:i/>
          <w:color w:val="FF0000"/>
          <w:sz w:val="10"/>
          <w:szCs w:val="10"/>
          <w:u w:val="single"/>
          <w:lang w:val="uk-UA"/>
        </w:rPr>
      </w:pPr>
    </w:p>
    <w:p w:rsidR="001E2D34" w:rsidRDefault="00427206" w:rsidP="001E2D34">
      <w:pPr>
        <w:ind w:firstLine="851"/>
        <w:jc w:val="both"/>
        <w:rPr>
          <w:lang w:val="uk-UA"/>
        </w:rPr>
      </w:pPr>
      <w:r w:rsidRPr="001E06D2">
        <w:rPr>
          <w:lang w:val="uk-UA"/>
        </w:rPr>
        <w:t xml:space="preserve">Загальна сума видатків </w:t>
      </w:r>
      <w:r>
        <w:rPr>
          <w:lang w:val="uk-UA"/>
        </w:rPr>
        <w:t xml:space="preserve">місцевого бюджету </w:t>
      </w:r>
      <w:r w:rsidRPr="001E06D2">
        <w:rPr>
          <w:lang w:val="uk-UA"/>
        </w:rPr>
        <w:t xml:space="preserve">на фінансування галузі </w:t>
      </w:r>
      <w:r>
        <w:rPr>
          <w:lang w:val="uk-UA"/>
        </w:rPr>
        <w:t xml:space="preserve">фізична культура і спорт Бучанської міської територіальної громади по загальному фонду складає 59,9% </w:t>
      </w:r>
      <w:r>
        <w:rPr>
          <w:rFonts w:eastAsia="Calibri"/>
          <w:lang w:val="uk-UA"/>
        </w:rPr>
        <w:t>(уточнений план 1 604,0 тис. грн., касові видатки 961,1  тис. грн.) по спеціальному фонду складає 100,0 % (уточнений план 15,5 тис. грн., касові видатки 15,5 тис. грн.).</w:t>
      </w:r>
      <w:r w:rsidR="00362AC6" w:rsidRPr="00362AC6">
        <w:rPr>
          <w:lang w:val="uk-UA"/>
        </w:rPr>
        <w:t xml:space="preserve"> </w:t>
      </w:r>
      <w:r w:rsidR="001E2D34" w:rsidRPr="009A12E0">
        <w:rPr>
          <w:lang w:val="uk-UA"/>
        </w:rPr>
        <w:t>Відповідно до минулого періоду 2020 року видатки загального фонду з</w:t>
      </w:r>
      <w:r w:rsidR="001E2D34">
        <w:rPr>
          <w:lang w:val="uk-UA"/>
        </w:rPr>
        <w:t>меншені</w:t>
      </w:r>
      <w:r w:rsidR="001E2D34" w:rsidRPr="009A12E0">
        <w:rPr>
          <w:lang w:val="uk-UA"/>
        </w:rPr>
        <w:t xml:space="preserve"> на </w:t>
      </w:r>
      <w:r w:rsidR="00056C06">
        <w:rPr>
          <w:lang w:val="uk-UA"/>
        </w:rPr>
        <w:t>73,3</w:t>
      </w:r>
      <w:r w:rsidR="001E2D34" w:rsidRPr="009A12E0">
        <w:rPr>
          <w:lang w:val="uk-UA"/>
        </w:rPr>
        <w:t xml:space="preserve"> тис. грн., або на </w:t>
      </w:r>
      <w:r w:rsidR="00056C06">
        <w:rPr>
          <w:lang w:val="uk-UA"/>
        </w:rPr>
        <w:t>7,1</w:t>
      </w:r>
      <w:r w:rsidR="001E2D34" w:rsidRPr="009A12E0">
        <w:rPr>
          <w:lang w:val="uk-UA"/>
        </w:rPr>
        <w:t xml:space="preserve"> %. </w:t>
      </w:r>
      <w:r w:rsidR="001E2D34">
        <w:rPr>
          <w:lang w:val="uk-UA"/>
        </w:rPr>
        <w:t>Зменшення видаткової частини загального фонду зумовлено</w:t>
      </w:r>
      <w:r w:rsidR="00B76C80">
        <w:rPr>
          <w:lang w:val="uk-UA"/>
        </w:rPr>
        <w:t xml:space="preserve"> введенням карантинних заходів</w:t>
      </w:r>
      <w:r w:rsidR="001E2D34">
        <w:rPr>
          <w:lang w:val="uk-UA"/>
        </w:rPr>
        <w:t xml:space="preserve">. </w:t>
      </w:r>
      <w:r w:rsidR="001E2D34" w:rsidRPr="001852EF">
        <w:rPr>
          <w:lang w:val="uk-UA"/>
        </w:rPr>
        <w:t xml:space="preserve">Видатки спеціального фонду зменшені на </w:t>
      </w:r>
      <w:r w:rsidR="00B76C80">
        <w:rPr>
          <w:lang w:val="uk-UA"/>
        </w:rPr>
        <w:t>138,4</w:t>
      </w:r>
      <w:r w:rsidR="001E2D34">
        <w:rPr>
          <w:lang w:val="uk-UA"/>
        </w:rPr>
        <w:t xml:space="preserve"> </w:t>
      </w:r>
      <w:r w:rsidR="001E2D34" w:rsidRPr="001852EF">
        <w:rPr>
          <w:lang w:val="uk-UA"/>
        </w:rPr>
        <w:t xml:space="preserve">тис. грн, або на </w:t>
      </w:r>
      <w:r w:rsidR="00B76C80">
        <w:rPr>
          <w:lang w:val="uk-UA"/>
        </w:rPr>
        <w:t>89,9</w:t>
      </w:r>
      <w:r w:rsidR="001E2D34" w:rsidRPr="001852EF">
        <w:rPr>
          <w:lang w:val="uk-UA"/>
        </w:rPr>
        <w:t xml:space="preserve"> %. </w:t>
      </w:r>
    </w:p>
    <w:p w:rsidR="00427206" w:rsidRDefault="00427206" w:rsidP="00427206">
      <w:pPr>
        <w:autoSpaceDE w:val="0"/>
        <w:autoSpaceDN w:val="0"/>
        <w:adjustRightInd w:val="0"/>
        <w:ind w:firstLine="709"/>
        <w:jc w:val="both"/>
        <w:rPr>
          <w:rFonts w:eastAsia="Calibri"/>
          <w:sz w:val="10"/>
          <w:szCs w:val="10"/>
          <w:lang w:val="uk-UA"/>
        </w:rPr>
      </w:pPr>
    </w:p>
    <w:p w:rsidR="007A39C4" w:rsidRPr="00506078" w:rsidRDefault="007A39C4" w:rsidP="00427206">
      <w:pPr>
        <w:autoSpaceDE w:val="0"/>
        <w:autoSpaceDN w:val="0"/>
        <w:adjustRightInd w:val="0"/>
        <w:ind w:firstLine="709"/>
        <w:jc w:val="both"/>
        <w:rPr>
          <w:rFonts w:eastAsia="Calibri"/>
          <w:sz w:val="10"/>
          <w:szCs w:val="10"/>
          <w:lang w:val="uk-UA"/>
        </w:rPr>
      </w:pPr>
    </w:p>
    <w:p w:rsidR="00427206" w:rsidRPr="005F07D5" w:rsidRDefault="00427206" w:rsidP="00427206">
      <w:pPr>
        <w:autoSpaceDE w:val="0"/>
        <w:autoSpaceDN w:val="0"/>
        <w:adjustRightInd w:val="0"/>
        <w:ind w:firstLine="709"/>
        <w:jc w:val="both"/>
        <w:rPr>
          <w:b/>
          <w:i/>
          <w:sz w:val="25"/>
          <w:szCs w:val="25"/>
          <w:lang w:val="uk-UA"/>
        </w:rPr>
      </w:pPr>
      <w:r w:rsidRPr="005F07D5">
        <w:rPr>
          <w:rFonts w:eastAsia="Calibri"/>
          <w:b/>
          <w:i/>
          <w:sz w:val="25"/>
          <w:szCs w:val="25"/>
          <w:lang w:val="uk-UA"/>
        </w:rPr>
        <w:t>Загальний фонд</w:t>
      </w:r>
    </w:p>
    <w:p w:rsidR="00881DAB" w:rsidRDefault="00881DAB" w:rsidP="00427206">
      <w:pPr>
        <w:ind w:firstLine="709"/>
        <w:jc w:val="both"/>
        <w:rPr>
          <w:sz w:val="10"/>
          <w:szCs w:val="10"/>
          <w:lang w:val="uk-UA"/>
        </w:rPr>
      </w:pPr>
    </w:p>
    <w:p w:rsidR="007A39C4" w:rsidRPr="00506078" w:rsidRDefault="007A39C4" w:rsidP="00427206">
      <w:pPr>
        <w:ind w:firstLine="709"/>
        <w:jc w:val="both"/>
        <w:rPr>
          <w:sz w:val="10"/>
          <w:szCs w:val="10"/>
          <w:lang w:val="uk-UA"/>
        </w:rPr>
      </w:pPr>
    </w:p>
    <w:p w:rsidR="00427206" w:rsidRDefault="00427206" w:rsidP="00427206">
      <w:pPr>
        <w:ind w:firstLine="709"/>
        <w:jc w:val="both"/>
        <w:rPr>
          <w:lang w:val="uk-UA"/>
        </w:rPr>
      </w:pPr>
      <w:r w:rsidRPr="00ED3379">
        <w:rPr>
          <w:lang w:val="uk-UA"/>
        </w:rPr>
        <w:t xml:space="preserve">За рахунок коштів по даному розділу утримувались два стадіони, дитячо-юнацька спортивна школа, </w:t>
      </w:r>
      <w:r>
        <w:rPr>
          <w:lang w:val="uk-UA"/>
        </w:rPr>
        <w:t>проводились навчально-тренувальні збори і змагання з олімпійських видів спорту.</w:t>
      </w:r>
    </w:p>
    <w:p w:rsidR="000B2D5A" w:rsidRDefault="000B2D5A" w:rsidP="000B2D5A">
      <w:pPr>
        <w:autoSpaceDE w:val="0"/>
        <w:autoSpaceDN w:val="0"/>
        <w:adjustRightInd w:val="0"/>
        <w:ind w:firstLine="709"/>
        <w:jc w:val="both"/>
        <w:rPr>
          <w:lang w:val="uk-UA"/>
        </w:rPr>
      </w:pPr>
      <w:r>
        <w:rPr>
          <w:lang w:val="uk-UA"/>
        </w:rPr>
        <w:t>У розрізі економічної класифікації видатки спрямовані на :</w:t>
      </w:r>
    </w:p>
    <w:p w:rsidR="007A39C4" w:rsidRDefault="007A39C4" w:rsidP="007A39C4">
      <w:pPr>
        <w:numPr>
          <w:ilvl w:val="0"/>
          <w:numId w:val="1"/>
        </w:numPr>
        <w:ind w:left="0" w:firstLine="567"/>
        <w:jc w:val="both"/>
        <w:rPr>
          <w:lang w:val="uk-UA"/>
        </w:rPr>
      </w:pPr>
      <w:r>
        <w:rPr>
          <w:lang w:val="uk-UA"/>
        </w:rPr>
        <w:t>оплату праці та нарахувань на неї – 770,4 тис. грн.;</w:t>
      </w:r>
    </w:p>
    <w:p w:rsidR="007A39C4" w:rsidRDefault="007A39C4" w:rsidP="007A39C4">
      <w:pPr>
        <w:numPr>
          <w:ilvl w:val="0"/>
          <w:numId w:val="1"/>
        </w:numPr>
        <w:ind w:left="0" w:firstLine="567"/>
        <w:jc w:val="both"/>
        <w:rPr>
          <w:lang w:val="uk-UA"/>
        </w:rPr>
      </w:pPr>
      <w:r>
        <w:rPr>
          <w:lang w:val="uk-UA"/>
        </w:rPr>
        <w:t>оплату послуг (крім комунальних) та відрядження – 59,5 тис. грн.;</w:t>
      </w:r>
    </w:p>
    <w:p w:rsidR="007A39C4" w:rsidRPr="00814EFE" w:rsidRDefault="007A39C4" w:rsidP="007A39C4">
      <w:pPr>
        <w:numPr>
          <w:ilvl w:val="0"/>
          <w:numId w:val="1"/>
        </w:numPr>
        <w:ind w:left="0" w:firstLine="567"/>
        <w:jc w:val="both"/>
        <w:rPr>
          <w:lang w:val="uk-UA"/>
        </w:rPr>
      </w:pPr>
      <w:r>
        <w:rPr>
          <w:lang w:val="uk-UA"/>
        </w:rPr>
        <w:t>оплата комунальних послуг – 56,8  тис. грн.;</w:t>
      </w:r>
    </w:p>
    <w:p w:rsidR="007A39C4" w:rsidRDefault="007A39C4" w:rsidP="007A39C4">
      <w:pPr>
        <w:numPr>
          <w:ilvl w:val="0"/>
          <w:numId w:val="1"/>
        </w:numPr>
        <w:ind w:left="0" w:firstLine="567"/>
        <w:jc w:val="both"/>
        <w:rPr>
          <w:lang w:val="uk-UA"/>
        </w:rPr>
      </w:pPr>
      <w:r>
        <w:rPr>
          <w:lang w:val="uk-UA"/>
        </w:rPr>
        <w:t>предмети, обладнання та інвентар – 44,8 тис. грн.;</w:t>
      </w:r>
    </w:p>
    <w:p w:rsidR="007A39C4" w:rsidRDefault="007A39C4" w:rsidP="007A39C4">
      <w:pPr>
        <w:numPr>
          <w:ilvl w:val="0"/>
          <w:numId w:val="1"/>
        </w:numPr>
        <w:ind w:left="0" w:firstLine="567"/>
        <w:jc w:val="both"/>
        <w:rPr>
          <w:lang w:val="uk-UA"/>
        </w:rPr>
      </w:pPr>
      <w:r>
        <w:rPr>
          <w:lang w:val="uk-UA"/>
        </w:rPr>
        <w:t>на окремі заходи по реалізації державних ( регіональних) програм, не віднесені до заходів розвитку – 27,6 тис. грн.;</w:t>
      </w:r>
    </w:p>
    <w:p w:rsidR="007A39C4" w:rsidRDefault="007A39C4" w:rsidP="007A39C4">
      <w:pPr>
        <w:numPr>
          <w:ilvl w:val="0"/>
          <w:numId w:val="1"/>
        </w:numPr>
        <w:ind w:left="0" w:firstLine="567"/>
        <w:jc w:val="both"/>
        <w:rPr>
          <w:lang w:val="uk-UA"/>
        </w:rPr>
      </w:pPr>
      <w:r>
        <w:rPr>
          <w:lang w:val="uk-UA"/>
        </w:rPr>
        <w:t>придбання обладнання і предметів довгострокового користування – 15,5 тис. грн.;</w:t>
      </w:r>
    </w:p>
    <w:p w:rsidR="007A39C4" w:rsidRPr="00A8637B" w:rsidRDefault="007A39C4" w:rsidP="007A39C4">
      <w:pPr>
        <w:numPr>
          <w:ilvl w:val="0"/>
          <w:numId w:val="1"/>
        </w:numPr>
        <w:ind w:left="0" w:firstLine="567"/>
        <w:jc w:val="both"/>
        <w:rPr>
          <w:lang w:val="uk-UA"/>
        </w:rPr>
      </w:pPr>
      <w:r>
        <w:rPr>
          <w:lang w:val="uk-UA"/>
        </w:rPr>
        <w:t>медикаменти та перев’язувальні матеріали – 2,0 тис. грн.</w:t>
      </w:r>
    </w:p>
    <w:p w:rsidR="007A39C4" w:rsidRDefault="007A39C4" w:rsidP="000B2D5A">
      <w:pPr>
        <w:autoSpaceDE w:val="0"/>
        <w:autoSpaceDN w:val="0"/>
        <w:adjustRightInd w:val="0"/>
        <w:ind w:firstLine="709"/>
        <w:jc w:val="both"/>
        <w:rPr>
          <w:lang w:val="uk-UA"/>
        </w:rPr>
      </w:pPr>
    </w:p>
    <w:p w:rsidR="00427206" w:rsidRDefault="008354F3" w:rsidP="008354F3">
      <w:pPr>
        <w:jc w:val="both"/>
        <w:rPr>
          <w:noProof/>
          <w:lang w:val="uk-UA" w:eastAsia="uk-UA"/>
        </w:rPr>
      </w:pPr>
      <w:r>
        <w:rPr>
          <w:noProof/>
          <w:lang w:val="uk-UA" w:eastAsia="uk-UA"/>
        </w:rPr>
        <w:lastRenderedPageBreak/>
        <w:drawing>
          <wp:inline distT="0" distB="0" distL="0" distR="0" wp14:anchorId="0FA43C2F" wp14:editId="3AB46F0C">
            <wp:extent cx="6210300" cy="4335145"/>
            <wp:effectExtent l="0" t="0" r="0" b="8255"/>
            <wp:docPr id="21" name="Діагра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27206" w:rsidRPr="00506078" w:rsidRDefault="00427206" w:rsidP="00427206">
      <w:pPr>
        <w:jc w:val="both"/>
        <w:rPr>
          <w:sz w:val="10"/>
          <w:szCs w:val="10"/>
          <w:lang w:val="uk-UA"/>
        </w:rPr>
      </w:pPr>
    </w:p>
    <w:p w:rsidR="00427206" w:rsidRDefault="00427206" w:rsidP="00427206">
      <w:pPr>
        <w:ind w:firstLine="709"/>
        <w:jc w:val="both"/>
        <w:rPr>
          <w:lang w:val="uk-UA"/>
        </w:rPr>
      </w:pPr>
      <w:r>
        <w:rPr>
          <w:lang w:val="uk-UA"/>
        </w:rPr>
        <w:t>З</w:t>
      </w:r>
      <w:r w:rsidRPr="00224D33">
        <w:rPr>
          <w:lang w:val="uk-UA"/>
        </w:rPr>
        <w:t xml:space="preserve">а бюджетною програмою </w:t>
      </w:r>
      <w:r>
        <w:rPr>
          <w:lang w:val="uk-UA"/>
        </w:rPr>
        <w:t>5011 «Проведення навчально-тренувальних зборів і змагань» виконання плану складає 45,3 % (уточнений план 61,0 тис. грн., касові видатки 27,6 тис. грн.)</w:t>
      </w:r>
      <w:r w:rsidRPr="00422343">
        <w:rPr>
          <w:lang w:val="uk-UA"/>
        </w:rPr>
        <w:t>.</w:t>
      </w:r>
    </w:p>
    <w:p w:rsidR="00427206" w:rsidRDefault="00427206" w:rsidP="00427206">
      <w:pPr>
        <w:ind w:firstLine="709"/>
        <w:jc w:val="both"/>
        <w:rPr>
          <w:lang w:val="uk-UA"/>
        </w:rPr>
      </w:pPr>
      <w:r>
        <w:rPr>
          <w:lang w:val="uk-UA"/>
        </w:rPr>
        <w:t>За бюджетною програмою 5</w:t>
      </w:r>
      <w:r w:rsidRPr="00BA6560">
        <w:rPr>
          <w:lang w:val="uk-UA"/>
        </w:rPr>
        <w:t xml:space="preserve">031 «Утримання та навчально-тренувальна робота комунальних дитячо-юнацьких спортивних шкіл» </w:t>
      </w:r>
      <w:r>
        <w:rPr>
          <w:lang w:val="uk-UA"/>
        </w:rPr>
        <w:t>виконання плану складає 61,6 % (уточнений план 1 015,6 тис. грн., касові видатки 626,1 тис. грн.)</w:t>
      </w:r>
      <w:r w:rsidRPr="00422343">
        <w:rPr>
          <w:lang w:val="uk-UA"/>
        </w:rPr>
        <w:t>.</w:t>
      </w:r>
    </w:p>
    <w:p w:rsidR="00427206" w:rsidRDefault="00427206" w:rsidP="00427206">
      <w:pPr>
        <w:ind w:firstLine="709"/>
        <w:jc w:val="both"/>
        <w:rPr>
          <w:lang w:val="uk-UA"/>
        </w:rPr>
      </w:pPr>
      <w:r>
        <w:rPr>
          <w:lang w:val="uk-UA"/>
        </w:rPr>
        <w:t xml:space="preserve">За бюджетною програмою </w:t>
      </w:r>
      <w:r w:rsidRPr="00224D33">
        <w:rPr>
          <w:lang w:val="uk-UA"/>
        </w:rPr>
        <w:t xml:space="preserve">5041 « Утримання та фінансова підтримка спортивних споруд» </w:t>
      </w:r>
      <w:r>
        <w:rPr>
          <w:lang w:val="uk-UA"/>
        </w:rPr>
        <w:t>виконання плану складає 63 7 % (уточнений план 482,4 тис. грн., касові видатки 307,4 тис. грн.)</w:t>
      </w:r>
      <w:r w:rsidRPr="00422343">
        <w:rPr>
          <w:lang w:val="uk-UA"/>
        </w:rPr>
        <w:t>.</w:t>
      </w:r>
      <w:r>
        <w:rPr>
          <w:lang w:val="uk-UA"/>
        </w:rPr>
        <w:t xml:space="preserve"> </w:t>
      </w:r>
      <w:r w:rsidRPr="00224D33">
        <w:rPr>
          <w:lang w:val="uk-UA"/>
        </w:rPr>
        <w:t>За даною функцією ведеться утримання стадіону «Ювілейний» та стадіону по вул. Чкалова ( зі штучним покриттям), які є основними базами для проведення спортивних заходів та змагань.</w:t>
      </w:r>
    </w:p>
    <w:p w:rsidR="00881DAB" w:rsidRPr="00506078" w:rsidRDefault="00881DAB" w:rsidP="00427206">
      <w:pPr>
        <w:autoSpaceDE w:val="0"/>
        <w:autoSpaceDN w:val="0"/>
        <w:adjustRightInd w:val="0"/>
        <w:ind w:firstLine="709"/>
        <w:jc w:val="both"/>
        <w:rPr>
          <w:rFonts w:eastAsia="Calibri"/>
          <w:b/>
          <w:i/>
          <w:sz w:val="10"/>
          <w:szCs w:val="10"/>
          <w:lang w:val="uk-UA"/>
        </w:rPr>
      </w:pPr>
    </w:p>
    <w:p w:rsidR="00427206" w:rsidRPr="000D65F1" w:rsidRDefault="00427206" w:rsidP="00427206">
      <w:pPr>
        <w:autoSpaceDE w:val="0"/>
        <w:autoSpaceDN w:val="0"/>
        <w:adjustRightInd w:val="0"/>
        <w:ind w:firstLine="709"/>
        <w:jc w:val="both"/>
        <w:rPr>
          <w:rFonts w:eastAsia="Calibri"/>
          <w:b/>
          <w:i/>
          <w:sz w:val="25"/>
          <w:szCs w:val="25"/>
          <w:lang w:val="uk-UA"/>
        </w:rPr>
      </w:pPr>
      <w:r w:rsidRPr="000D65F1">
        <w:rPr>
          <w:rFonts w:eastAsia="Calibri"/>
          <w:b/>
          <w:i/>
          <w:sz w:val="25"/>
          <w:szCs w:val="25"/>
          <w:lang w:val="uk-UA"/>
        </w:rPr>
        <w:t>Спеціальний фонд</w:t>
      </w:r>
    </w:p>
    <w:p w:rsidR="00427206" w:rsidRPr="00E06E03" w:rsidRDefault="00427206" w:rsidP="00427206">
      <w:pPr>
        <w:autoSpaceDE w:val="0"/>
        <w:autoSpaceDN w:val="0"/>
        <w:adjustRightInd w:val="0"/>
        <w:ind w:firstLine="709"/>
        <w:jc w:val="both"/>
        <w:rPr>
          <w:i/>
          <w:u w:val="single"/>
          <w:lang w:val="uk-UA"/>
        </w:rPr>
      </w:pPr>
      <w:r w:rsidRPr="00DB2051">
        <w:rPr>
          <w:lang w:val="uk-UA"/>
        </w:rPr>
        <w:t>Видатки спеціального</w:t>
      </w:r>
      <w:r w:rsidRPr="00ED4E21">
        <w:rPr>
          <w:lang w:val="uk-UA"/>
        </w:rPr>
        <w:t xml:space="preserve"> фонду за І квартал 2021 року склали 15,5 тис. грн при уточненому плані 15,5 тис. грн, що становить 100 % виконання. </w:t>
      </w:r>
      <w:r>
        <w:rPr>
          <w:lang w:val="uk-UA"/>
        </w:rPr>
        <w:t>Кошти спрямовані на придбання розкидача сівалки.</w:t>
      </w:r>
    </w:p>
    <w:p w:rsidR="00427206" w:rsidRPr="00506078" w:rsidRDefault="00427206" w:rsidP="00427206">
      <w:pPr>
        <w:ind w:firstLine="709"/>
        <w:jc w:val="both"/>
        <w:rPr>
          <w:b/>
          <w:i/>
          <w:sz w:val="10"/>
          <w:szCs w:val="10"/>
          <w:lang w:val="uk-UA"/>
        </w:rPr>
      </w:pPr>
    </w:p>
    <w:p w:rsidR="00427206" w:rsidRPr="00F46661" w:rsidRDefault="00427206" w:rsidP="00427206">
      <w:pPr>
        <w:ind w:firstLine="709"/>
        <w:jc w:val="both"/>
        <w:rPr>
          <w:lang w:val="uk-UA"/>
        </w:rPr>
      </w:pPr>
      <w:r>
        <w:rPr>
          <w:lang w:val="uk-UA"/>
        </w:rPr>
        <w:t>Ш</w:t>
      </w:r>
      <w:r w:rsidRPr="00F46661">
        <w:rPr>
          <w:lang w:val="uk-UA"/>
        </w:rPr>
        <w:t xml:space="preserve">татна чисельність працівників </w:t>
      </w:r>
      <w:r>
        <w:rPr>
          <w:lang w:val="uk-UA"/>
        </w:rPr>
        <w:t xml:space="preserve">Відділу молоді та спорту Бучанської міської ради </w:t>
      </w:r>
      <w:r w:rsidRPr="00F46661">
        <w:rPr>
          <w:lang w:val="uk-UA"/>
        </w:rPr>
        <w:t xml:space="preserve">становить </w:t>
      </w:r>
      <w:r>
        <w:rPr>
          <w:lang w:val="uk-UA"/>
        </w:rPr>
        <w:t>29,25</w:t>
      </w:r>
      <w:r w:rsidRPr="00F46661">
        <w:rPr>
          <w:lang w:val="uk-UA"/>
        </w:rPr>
        <w:t xml:space="preserve"> одиниць.</w:t>
      </w:r>
    </w:p>
    <w:p w:rsidR="00427206" w:rsidRDefault="00427206" w:rsidP="00427206">
      <w:pPr>
        <w:ind w:firstLine="709"/>
        <w:jc w:val="both"/>
        <w:rPr>
          <w:lang w:val="uk-UA"/>
        </w:rPr>
      </w:pPr>
      <w:r w:rsidRPr="00A10296">
        <w:rPr>
          <w:lang w:val="uk-UA"/>
        </w:rPr>
        <w:t xml:space="preserve">Кредиторська заборгованість </w:t>
      </w:r>
      <w:r>
        <w:rPr>
          <w:lang w:val="uk-UA"/>
        </w:rPr>
        <w:t>на кінець звітного періоду відсутня.</w:t>
      </w:r>
    </w:p>
    <w:p w:rsidR="00FA483C" w:rsidRPr="00506078" w:rsidRDefault="00FA483C" w:rsidP="003E528D">
      <w:pPr>
        <w:autoSpaceDE w:val="0"/>
        <w:autoSpaceDN w:val="0"/>
        <w:adjustRightInd w:val="0"/>
        <w:ind w:firstLine="709"/>
        <w:jc w:val="center"/>
        <w:rPr>
          <w:b/>
          <w:i/>
          <w:sz w:val="10"/>
          <w:szCs w:val="10"/>
          <w:u w:val="single"/>
          <w:lang w:val="uk-UA"/>
        </w:rPr>
      </w:pPr>
    </w:p>
    <w:p w:rsidR="004B1F62" w:rsidRPr="008F6F00" w:rsidRDefault="00956675" w:rsidP="003E528D">
      <w:pPr>
        <w:autoSpaceDE w:val="0"/>
        <w:autoSpaceDN w:val="0"/>
        <w:adjustRightInd w:val="0"/>
        <w:ind w:firstLine="709"/>
        <w:jc w:val="center"/>
        <w:rPr>
          <w:b/>
          <w:i/>
          <w:sz w:val="26"/>
          <w:szCs w:val="26"/>
          <w:u w:val="single"/>
          <w:lang w:val="uk-UA"/>
        </w:rPr>
      </w:pPr>
      <w:r w:rsidRPr="008F6F00">
        <w:rPr>
          <w:b/>
          <w:i/>
          <w:sz w:val="26"/>
          <w:szCs w:val="26"/>
          <w:u w:val="single"/>
          <w:lang w:val="uk-UA"/>
        </w:rPr>
        <w:t xml:space="preserve">6000 </w:t>
      </w:r>
      <w:r w:rsidR="004B1F62" w:rsidRPr="008F6F00">
        <w:rPr>
          <w:b/>
          <w:i/>
          <w:sz w:val="26"/>
          <w:szCs w:val="26"/>
          <w:u w:val="single"/>
          <w:lang w:val="uk-UA"/>
        </w:rPr>
        <w:t>Житлово-комунальне господарство</w:t>
      </w:r>
    </w:p>
    <w:p w:rsidR="00D60200" w:rsidRPr="00506078" w:rsidRDefault="00D60200" w:rsidP="003E528D">
      <w:pPr>
        <w:autoSpaceDE w:val="0"/>
        <w:autoSpaceDN w:val="0"/>
        <w:adjustRightInd w:val="0"/>
        <w:ind w:firstLine="709"/>
        <w:jc w:val="center"/>
        <w:rPr>
          <w:b/>
          <w:i/>
          <w:sz w:val="10"/>
          <w:szCs w:val="10"/>
          <w:u w:val="single"/>
          <w:lang w:val="uk-UA"/>
        </w:rPr>
      </w:pPr>
    </w:p>
    <w:p w:rsidR="00427206" w:rsidRDefault="00427206" w:rsidP="00F11629">
      <w:pPr>
        <w:ind w:firstLine="851"/>
        <w:jc w:val="both"/>
        <w:rPr>
          <w:lang w:val="uk-UA"/>
        </w:rPr>
      </w:pPr>
      <w:r>
        <w:rPr>
          <w:lang w:val="uk-UA"/>
        </w:rPr>
        <w:t>По галузі «</w:t>
      </w:r>
      <w:r w:rsidR="007A328D">
        <w:rPr>
          <w:lang w:val="uk-UA"/>
        </w:rPr>
        <w:t xml:space="preserve"> </w:t>
      </w:r>
      <w:r>
        <w:rPr>
          <w:lang w:val="uk-UA"/>
        </w:rPr>
        <w:t>Ж</w:t>
      </w:r>
      <w:r w:rsidRPr="005E294E">
        <w:rPr>
          <w:lang w:val="uk-UA"/>
        </w:rPr>
        <w:t>итлово-комунальн</w:t>
      </w:r>
      <w:r>
        <w:rPr>
          <w:lang w:val="uk-UA"/>
        </w:rPr>
        <w:t>е</w:t>
      </w:r>
      <w:r w:rsidRPr="005E294E">
        <w:rPr>
          <w:lang w:val="uk-UA"/>
        </w:rPr>
        <w:t xml:space="preserve"> господарств</w:t>
      </w:r>
      <w:r>
        <w:rPr>
          <w:lang w:val="uk-UA"/>
        </w:rPr>
        <w:t>о</w:t>
      </w:r>
      <w:r w:rsidR="007A328D">
        <w:rPr>
          <w:lang w:val="uk-UA"/>
        </w:rPr>
        <w:t xml:space="preserve"> </w:t>
      </w:r>
      <w:r>
        <w:rPr>
          <w:lang w:val="uk-UA"/>
        </w:rPr>
        <w:t>»</w:t>
      </w:r>
      <w:r w:rsidRPr="005E294E">
        <w:rPr>
          <w:lang w:val="uk-UA"/>
        </w:rPr>
        <w:t xml:space="preserve"> </w:t>
      </w:r>
      <w:r>
        <w:rPr>
          <w:rFonts w:eastAsia="Calibri"/>
          <w:lang w:val="uk-UA"/>
        </w:rPr>
        <w:t>виконання плану по загальному фонду складає 83,5% (</w:t>
      </w:r>
      <w:r w:rsidR="007A328D">
        <w:rPr>
          <w:rFonts w:eastAsia="Calibri"/>
          <w:lang w:val="uk-UA"/>
        </w:rPr>
        <w:t xml:space="preserve"> </w:t>
      </w:r>
      <w:r>
        <w:rPr>
          <w:rFonts w:eastAsia="Calibri"/>
          <w:lang w:val="uk-UA"/>
        </w:rPr>
        <w:t>уточнений план 19 550,2 тис. грн., касові видатки 16 334,2 тис. грн.)</w:t>
      </w:r>
      <w:r w:rsidR="007A328D">
        <w:rPr>
          <w:rFonts w:eastAsia="Calibri"/>
          <w:lang w:val="uk-UA"/>
        </w:rPr>
        <w:t>,</w:t>
      </w:r>
      <w:r>
        <w:rPr>
          <w:rFonts w:eastAsia="Calibri"/>
          <w:lang w:val="uk-UA"/>
        </w:rPr>
        <w:t xml:space="preserve"> по спеціальному фонду касові видатки не проводились.</w:t>
      </w:r>
      <w:r w:rsidR="007A328D" w:rsidRPr="007A328D">
        <w:rPr>
          <w:lang w:val="uk-UA"/>
        </w:rPr>
        <w:t xml:space="preserve"> </w:t>
      </w:r>
      <w:r w:rsidR="007A328D" w:rsidRPr="009A12E0">
        <w:rPr>
          <w:lang w:val="uk-UA"/>
        </w:rPr>
        <w:t xml:space="preserve">Відповідно до минулого періоду 2020 року видатки загального фонду збільшені на </w:t>
      </w:r>
      <w:r w:rsidR="007A328D">
        <w:rPr>
          <w:lang w:val="uk-UA"/>
        </w:rPr>
        <w:t>10 817,7</w:t>
      </w:r>
      <w:r w:rsidR="007A328D" w:rsidRPr="009A12E0">
        <w:rPr>
          <w:lang w:val="uk-UA"/>
        </w:rPr>
        <w:t xml:space="preserve"> тис. грн., або </w:t>
      </w:r>
      <w:r w:rsidR="007A328D">
        <w:rPr>
          <w:lang w:val="uk-UA"/>
        </w:rPr>
        <w:t>у 3 рази.</w:t>
      </w:r>
      <w:r w:rsidR="007A328D" w:rsidRPr="009A12E0">
        <w:rPr>
          <w:lang w:val="uk-UA"/>
        </w:rPr>
        <w:t xml:space="preserve"> </w:t>
      </w:r>
      <w:r w:rsidR="007A328D">
        <w:rPr>
          <w:lang w:val="uk-UA"/>
        </w:rPr>
        <w:t xml:space="preserve">Збільшення видаткової частини зумовлено </w:t>
      </w:r>
      <w:r w:rsidR="00D60516">
        <w:rPr>
          <w:lang w:val="uk-UA"/>
        </w:rPr>
        <w:t>збільшенням</w:t>
      </w:r>
      <w:r w:rsidR="007A328D">
        <w:rPr>
          <w:lang w:val="uk-UA"/>
        </w:rPr>
        <w:t xml:space="preserve"> територій обслуговування ( складає 14 населених пунктів). </w:t>
      </w:r>
    </w:p>
    <w:p w:rsidR="00F11629" w:rsidRPr="00506078" w:rsidRDefault="00F11629" w:rsidP="00F11629">
      <w:pPr>
        <w:ind w:firstLine="851"/>
        <w:jc w:val="both"/>
        <w:rPr>
          <w:rFonts w:eastAsia="Calibri"/>
          <w:sz w:val="10"/>
          <w:szCs w:val="10"/>
          <w:lang w:val="uk-UA"/>
        </w:rPr>
      </w:pPr>
    </w:p>
    <w:p w:rsidR="00427206" w:rsidRPr="007A328D" w:rsidRDefault="00427206" w:rsidP="00427206">
      <w:pPr>
        <w:autoSpaceDE w:val="0"/>
        <w:autoSpaceDN w:val="0"/>
        <w:adjustRightInd w:val="0"/>
        <w:ind w:firstLine="709"/>
        <w:jc w:val="both"/>
        <w:rPr>
          <w:b/>
          <w:i/>
          <w:sz w:val="25"/>
          <w:szCs w:val="25"/>
          <w:lang w:val="uk-UA"/>
        </w:rPr>
      </w:pPr>
      <w:r w:rsidRPr="007A328D">
        <w:rPr>
          <w:rFonts w:eastAsia="Calibri"/>
          <w:b/>
          <w:i/>
          <w:sz w:val="25"/>
          <w:szCs w:val="25"/>
          <w:lang w:val="uk-UA"/>
        </w:rPr>
        <w:t>Загальний фонд</w:t>
      </w:r>
    </w:p>
    <w:p w:rsidR="00427206" w:rsidRPr="005E294E" w:rsidRDefault="00427206" w:rsidP="00427206">
      <w:pPr>
        <w:ind w:firstLine="709"/>
        <w:jc w:val="both"/>
        <w:rPr>
          <w:lang w:val="uk-UA"/>
        </w:rPr>
      </w:pPr>
      <w:r w:rsidRPr="005A1C43">
        <w:rPr>
          <w:lang w:val="uk-UA"/>
        </w:rPr>
        <w:lastRenderedPageBreak/>
        <w:t xml:space="preserve">За бюджетною програмою </w:t>
      </w:r>
      <w:r w:rsidRPr="005E294E">
        <w:rPr>
          <w:lang w:val="uk-UA"/>
        </w:rPr>
        <w:t xml:space="preserve">6030 «Організація благоустрою населених пунктів» </w:t>
      </w:r>
      <w:r w:rsidRPr="005A1C43">
        <w:rPr>
          <w:lang w:val="uk-UA"/>
        </w:rPr>
        <w:t xml:space="preserve"> </w:t>
      </w:r>
      <w:r>
        <w:rPr>
          <w:lang w:val="uk-UA"/>
        </w:rPr>
        <w:t>виконання плану складає 77 9 % (уточнений план 14 542,2 тис. грн., касові видатки 11 326,2 тис. грн.). Дані видатки спрямовані на:</w:t>
      </w:r>
    </w:p>
    <w:p w:rsidR="00427206" w:rsidRPr="00506078" w:rsidRDefault="00427206" w:rsidP="00427206">
      <w:pPr>
        <w:ind w:firstLine="709"/>
        <w:jc w:val="both"/>
        <w:rPr>
          <w:sz w:val="10"/>
          <w:szCs w:val="1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6027"/>
        <w:gridCol w:w="3119"/>
      </w:tblGrid>
      <w:tr w:rsidR="00427206" w:rsidRPr="00044AE6" w:rsidTr="00BC75DC">
        <w:trPr>
          <w:trHeight w:val="995"/>
          <w:jc w:val="center"/>
        </w:trPr>
        <w:tc>
          <w:tcPr>
            <w:tcW w:w="560" w:type="dxa"/>
            <w:shd w:val="clear" w:color="auto" w:fill="auto"/>
            <w:vAlign w:val="center"/>
          </w:tcPr>
          <w:p w:rsidR="00427206" w:rsidRPr="005E294E" w:rsidRDefault="00427206" w:rsidP="00BC75DC">
            <w:pPr>
              <w:ind w:firstLine="709"/>
              <w:jc w:val="center"/>
              <w:rPr>
                <w:lang w:val="uk-UA"/>
              </w:rPr>
            </w:pPr>
            <w:r w:rsidRPr="005E294E">
              <w:rPr>
                <w:b/>
                <w:lang w:val="uk-UA"/>
              </w:rPr>
              <w:t>№ п/п</w:t>
            </w:r>
          </w:p>
        </w:tc>
        <w:tc>
          <w:tcPr>
            <w:tcW w:w="6027" w:type="dxa"/>
            <w:shd w:val="clear" w:color="auto" w:fill="auto"/>
            <w:vAlign w:val="center"/>
          </w:tcPr>
          <w:p w:rsidR="00427206" w:rsidRPr="005E294E" w:rsidRDefault="00427206" w:rsidP="00BC75DC">
            <w:pPr>
              <w:ind w:firstLine="709"/>
              <w:jc w:val="center"/>
              <w:rPr>
                <w:lang w:val="uk-UA"/>
              </w:rPr>
            </w:pPr>
            <w:r w:rsidRPr="005E294E">
              <w:rPr>
                <w:b/>
                <w:lang w:val="uk-UA"/>
              </w:rPr>
              <w:t>Призначення видатків</w:t>
            </w:r>
          </w:p>
        </w:tc>
        <w:tc>
          <w:tcPr>
            <w:tcW w:w="3119" w:type="dxa"/>
            <w:shd w:val="clear" w:color="auto" w:fill="auto"/>
            <w:vAlign w:val="center"/>
          </w:tcPr>
          <w:p w:rsidR="00427206" w:rsidRPr="00044AE6" w:rsidRDefault="00427206" w:rsidP="00BC75DC">
            <w:pPr>
              <w:ind w:firstLine="709"/>
              <w:jc w:val="center"/>
              <w:rPr>
                <w:lang w:val="uk-UA"/>
              </w:rPr>
            </w:pPr>
            <w:r w:rsidRPr="00044AE6">
              <w:rPr>
                <w:b/>
                <w:lang w:val="uk-UA"/>
              </w:rPr>
              <w:t>Сума тис.</w:t>
            </w:r>
            <w:r>
              <w:rPr>
                <w:b/>
                <w:lang w:val="uk-UA"/>
              </w:rPr>
              <w:t xml:space="preserve"> </w:t>
            </w:r>
            <w:r w:rsidRPr="00044AE6">
              <w:rPr>
                <w:b/>
                <w:lang w:val="uk-UA"/>
              </w:rPr>
              <w:t>грн.</w:t>
            </w:r>
          </w:p>
        </w:tc>
      </w:tr>
      <w:tr w:rsidR="00427206" w:rsidRPr="00044AE6" w:rsidTr="00BC75DC">
        <w:trPr>
          <w:trHeight w:val="230"/>
          <w:jc w:val="center"/>
        </w:trPr>
        <w:tc>
          <w:tcPr>
            <w:tcW w:w="560" w:type="dxa"/>
            <w:shd w:val="clear" w:color="auto" w:fill="auto"/>
          </w:tcPr>
          <w:p w:rsidR="00427206" w:rsidRPr="005E294E" w:rsidRDefault="00427206" w:rsidP="00BC75DC">
            <w:pPr>
              <w:jc w:val="both"/>
              <w:rPr>
                <w:lang w:val="uk-UA"/>
              </w:rPr>
            </w:pPr>
            <w:r w:rsidRPr="005E294E">
              <w:rPr>
                <w:lang w:val="uk-UA"/>
              </w:rPr>
              <w:t>1.</w:t>
            </w:r>
          </w:p>
        </w:tc>
        <w:tc>
          <w:tcPr>
            <w:tcW w:w="6027" w:type="dxa"/>
            <w:shd w:val="clear" w:color="auto" w:fill="auto"/>
          </w:tcPr>
          <w:p w:rsidR="00427206" w:rsidRPr="005E294E" w:rsidRDefault="00427206" w:rsidP="00BC75DC">
            <w:pPr>
              <w:pStyle w:val="a9"/>
              <w:rPr>
                <w:sz w:val="26"/>
                <w:szCs w:val="26"/>
              </w:rPr>
            </w:pPr>
            <w:r w:rsidRPr="005E294E">
              <w:rPr>
                <w:sz w:val="26"/>
                <w:szCs w:val="26"/>
              </w:rPr>
              <w:t>Оплата електроенергії вуличного освітлення</w:t>
            </w:r>
          </w:p>
        </w:tc>
        <w:tc>
          <w:tcPr>
            <w:tcW w:w="3119" w:type="dxa"/>
            <w:shd w:val="clear" w:color="auto" w:fill="auto"/>
          </w:tcPr>
          <w:p w:rsidR="00427206" w:rsidRPr="00044AE6" w:rsidRDefault="00427206" w:rsidP="00BC75DC">
            <w:pPr>
              <w:jc w:val="center"/>
              <w:rPr>
                <w:lang w:val="uk-UA"/>
              </w:rPr>
            </w:pPr>
            <w:r>
              <w:rPr>
                <w:lang w:val="uk-UA"/>
              </w:rPr>
              <w:t>3073,4</w:t>
            </w:r>
          </w:p>
        </w:tc>
      </w:tr>
      <w:tr w:rsidR="00427206" w:rsidRPr="005E294E" w:rsidTr="00BC75DC">
        <w:trPr>
          <w:jc w:val="center"/>
        </w:trPr>
        <w:tc>
          <w:tcPr>
            <w:tcW w:w="560" w:type="dxa"/>
            <w:shd w:val="clear" w:color="auto" w:fill="auto"/>
          </w:tcPr>
          <w:p w:rsidR="00427206" w:rsidRPr="005E294E" w:rsidRDefault="00427206" w:rsidP="00BC75DC">
            <w:pPr>
              <w:jc w:val="both"/>
              <w:rPr>
                <w:lang w:val="uk-UA"/>
              </w:rPr>
            </w:pPr>
            <w:r w:rsidRPr="005E294E">
              <w:rPr>
                <w:lang w:val="uk-UA"/>
              </w:rPr>
              <w:t>2.</w:t>
            </w:r>
          </w:p>
        </w:tc>
        <w:tc>
          <w:tcPr>
            <w:tcW w:w="6027" w:type="dxa"/>
            <w:shd w:val="clear" w:color="auto" w:fill="auto"/>
          </w:tcPr>
          <w:p w:rsidR="00427206" w:rsidRPr="005E294E" w:rsidRDefault="00427206" w:rsidP="00BC75DC">
            <w:pPr>
              <w:pStyle w:val="a9"/>
              <w:rPr>
                <w:sz w:val="26"/>
                <w:szCs w:val="26"/>
              </w:rPr>
            </w:pPr>
            <w:r w:rsidRPr="005E294E">
              <w:rPr>
                <w:sz w:val="26"/>
                <w:szCs w:val="26"/>
              </w:rPr>
              <w:t>Поточний ремонт та обслуговування  мереж вуличного освітлення</w:t>
            </w:r>
          </w:p>
        </w:tc>
        <w:tc>
          <w:tcPr>
            <w:tcW w:w="3119" w:type="dxa"/>
            <w:shd w:val="clear" w:color="auto" w:fill="auto"/>
          </w:tcPr>
          <w:p w:rsidR="00427206" w:rsidRPr="00044AE6" w:rsidRDefault="00427206" w:rsidP="00BC75DC">
            <w:pPr>
              <w:jc w:val="center"/>
              <w:rPr>
                <w:lang w:val="uk-UA"/>
              </w:rPr>
            </w:pPr>
            <w:r>
              <w:rPr>
                <w:lang w:val="uk-UA"/>
              </w:rPr>
              <w:t>198,8</w:t>
            </w:r>
          </w:p>
        </w:tc>
      </w:tr>
      <w:tr w:rsidR="00427206" w:rsidRPr="00864A98" w:rsidTr="00BC75DC">
        <w:trPr>
          <w:jc w:val="center"/>
        </w:trPr>
        <w:tc>
          <w:tcPr>
            <w:tcW w:w="560" w:type="dxa"/>
            <w:shd w:val="clear" w:color="auto" w:fill="auto"/>
          </w:tcPr>
          <w:p w:rsidR="00427206" w:rsidRPr="005E294E" w:rsidRDefault="00427206" w:rsidP="00BC75DC">
            <w:pPr>
              <w:ind w:right="-276"/>
              <w:jc w:val="both"/>
              <w:rPr>
                <w:lang w:val="uk-UA"/>
              </w:rPr>
            </w:pPr>
            <w:r>
              <w:rPr>
                <w:lang w:val="uk-UA"/>
              </w:rPr>
              <w:t>3.</w:t>
            </w:r>
          </w:p>
        </w:tc>
        <w:tc>
          <w:tcPr>
            <w:tcW w:w="6027" w:type="dxa"/>
            <w:shd w:val="clear" w:color="auto" w:fill="auto"/>
          </w:tcPr>
          <w:p w:rsidR="00427206" w:rsidRPr="005E294E" w:rsidRDefault="00427206" w:rsidP="00BC75DC">
            <w:pPr>
              <w:pStyle w:val="a9"/>
              <w:rPr>
                <w:sz w:val="26"/>
                <w:szCs w:val="26"/>
              </w:rPr>
            </w:pPr>
            <w:r w:rsidRPr="005E294E">
              <w:rPr>
                <w:sz w:val="26"/>
                <w:szCs w:val="26"/>
              </w:rPr>
              <w:t>Очищення доріг від снігу</w:t>
            </w:r>
            <w:r>
              <w:rPr>
                <w:sz w:val="26"/>
                <w:szCs w:val="26"/>
              </w:rPr>
              <w:t>, посипка доріг піщано – сольової сумішшю</w:t>
            </w:r>
          </w:p>
        </w:tc>
        <w:tc>
          <w:tcPr>
            <w:tcW w:w="3119" w:type="dxa"/>
            <w:shd w:val="clear" w:color="auto" w:fill="auto"/>
          </w:tcPr>
          <w:p w:rsidR="00427206" w:rsidRPr="00864A98" w:rsidRDefault="00427206" w:rsidP="00BC75DC">
            <w:pPr>
              <w:tabs>
                <w:tab w:val="left" w:pos="2749"/>
              </w:tabs>
              <w:jc w:val="center"/>
              <w:rPr>
                <w:lang w:val="uk-UA"/>
              </w:rPr>
            </w:pPr>
            <w:r>
              <w:rPr>
                <w:lang w:val="uk-UA"/>
              </w:rPr>
              <w:t>150,0</w:t>
            </w:r>
          </w:p>
        </w:tc>
      </w:tr>
      <w:tr w:rsidR="00427206" w:rsidRPr="00B7495A" w:rsidTr="00BC75DC">
        <w:trPr>
          <w:jc w:val="center"/>
        </w:trPr>
        <w:tc>
          <w:tcPr>
            <w:tcW w:w="560" w:type="dxa"/>
            <w:shd w:val="clear" w:color="auto" w:fill="auto"/>
          </w:tcPr>
          <w:p w:rsidR="00427206" w:rsidRPr="005E294E" w:rsidRDefault="00427206" w:rsidP="00BC75DC">
            <w:pPr>
              <w:jc w:val="both"/>
              <w:rPr>
                <w:lang w:val="uk-UA"/>
              </w:rPr>
            </w:pPr>
            <w:r>
              <w:rPr>
                <w:lang w:val="uk-UA"/>
              </w:rPr>
              <w:t>4</w:t>
            </w:r>
            <w:r w:rsidRPr="005E294E">
              <w:rPr>
                <w:lang w:val="uk-UA"/>
              </w:rPr>
              <w:t>.</w:t>
            </w:r>
          </w:p>
        </w:tc>
        <w:tc>
          <w:tcPr>
            <w:tcW w:w="6027" w:type="dxa"/>
            <w:shd w:val="clear" w:color="auto" w:fill="auto"/>
          </w:tcPr>
          <w:p w:rsidR="00427206" w:rsidRPr="005E294E" w:rsidRDefault="00427206" w:rsidP="00BC75DC">
            <w:pPr>
              <w:pStyle w:val="a9"/>
              <w:rPr>
                <w:sz w:val="26"/>
                <w:szCs w:val="26"/>
              </w:rPr>
            </w:pPr>
            <w:r w:rsidRPr="005E294E">
              <w:rPr>
                <w:sz w:val="26"/>
                <w:szCs w:val="26"/>
              </w:rPr>
              <w:t>Вивіз ТПВ</w:t>
            </w:r>
          </w:p>
        </w:tc>
        <w:tc>
          <w:tcPr>
            <w:tcW w:w="3119" w:type="dxa"/>
            <w:shd w:val="clear" w:color="auto" w:fill="auto"/>
          </w:tcPr>
          <w:p w:rsidR="00427206" w:rsidRPr="00B7495A" w:rsidRDefault="00427206" w:rsidP="00BC75DC">
            <w:pPr>
              <w:jc w:val="center"/>
              <w:rPr>
                <w:lang w:val="uk-UA"/>
              </w:rPr>
            </w:pPr>
            <w:r>
              <w:rPr>
                <w:lang w:val="uk-UA"/>
              </w:rPr>
              <w:t>2346,9</w:t>
            </w:r>
          </w:p>
        </w:tc>
      </w:tr>
      <w:tr w:rsidR="00427206" w:rsidRPr="003A0403" w:rsidTr="00BC75DC">
        <w:trPr>
          <w:trHeight w:val="860"/>
          <w:jc w:val="center"/>
        </w:trPr>
        <w:tc>
          <w:tcPr>
            <w:tcW w:w="560" w:type="dxa"/>
            <w:shd w:val="clear" w:color="auto" w:fill="auto"/>
          </w:tcPr>
          <w:p w:rsidR="00427206" w:rsidRPr="005E294E" w:rsidRDefault="00427206" w:rsidP="00BC75DC">
            <w:pPr>
              <w:jc w:val="both"/>
              <w:rPr>
                <w:lang w:val="uk-UA"/>
              </w:rPr>
            </w:pPr>
            <w:r>
              <w:rPr>
                <w:lang w:val="uk-UA"/>
              </w:rPr>
              <w:t>5</w:t>
            </w:r>
            <w:r w:rsidRPr="005E294E">
              <w:rPr>
                <w:lang w:val="uk-UA"/>
              </w:rPr>
              <w:t>.</w:t>
            </w:r>
          </w:p>
        </w:tc>
        <w:tc>
          <w:tcPr>
            <w:tcW w:w="6027" w:type="dxa"/>
            <w:shd w:val="clear" w:color="auto" w:fill="auto"/>
          </w:tcPr>
          <w:p w:rsidR="00427206" w:rsidRPr="005E294E" w:rsidRDefault="00427206" w:rsidP="00BC75DC">
            <w:pPr>
              <w:pStyle w:val="a9"/>
              <w:rPr>
                <w:sz w:val="26"/>
                <w:szCs w:val="26"/>
              </w:rPr>
            </w:pPr>
            <w:r w:rsidRPr="005E294E">
              <w:rPr>
                <w:sz w:val="26"/>
                <w:szCs w:val="26"/>
              </w:rPr>
              <w:t>Поточні тра</w:t>
            </w:r>
            <w:r>
              <w:rPr>
                <w:sz w:val="26"/>
                <w:szCs w:val="26"/>
              </w:rPr>
              <w:t>н</w:t>
            </w:r>
            <w:r w:rsidRPr="005E294E">
              <w:rPr>
                <w:sz w:val="26"/>
                <w:szCs w:val="26"/>
              </w:rPr>
              <w:t xml:space="preserve">сферти: </w:t>
            </w:r>
          </w:p>
          <w:p w:rsidR="00427206" w:rsidRPr="005E294E" w:rsidRDefault="00427206" w:rsidP="00BC75DC">
            <w:pPr>
              <w:pStyle w:val="a9"/>
              <w:rPr>
                <w:sz w:val="26"/>
                <w:szCs w:val="26"/>
              </w:rPr>
            </w:pPr>
            <w:r w:rsidRPr="005E294E">
              <w:rPr>
                <w:sz w:val="26"/>
                <w:szCs w:val="26"/>
              </w:rPr>
              <w:t>КП « Бучазеленбуд»</w:t>
            </w:r>
            <w:r>
              <w:rPr>
                <w:sz w:val="26"/>
                <w:szCs w:val="26"/>
              </w:rPr>
              <w:t xml:space="preserve"> - 2 486,2 тис. грн</w:t>
            </w:r>
            <w:r w:rsidRPr="005E294E">
              <w:rPr>
                <w:sz w:val="26"/>
                <w:szCs w:val="26"/>
              </w:rPr>
              <w:t>,</w:t>
            </w:r>
          </w:p>
          <w:p w:rsidR="00427206" w:rsidRPr="005E294E" w:rsidRDefault="00427206" w:rsidP="00BC75DC">
            <w:pPr>
              <w:pStyle w:val="a9"/>
              <w:rPr>
                <w:sz w:val="26"/>
                <w:szCs w:val="26"/>
              </w:rPr>
            </w:pPr>
            <w:r w:rsidRPr="005E294E">
              <w:rPr>
                <w:sz w:val="26"/>
                <w:szCs w:val="26"/>
              </w:rPr>
              <w:t>КП « БУЖКГ</w:t>
            </w:r>
            <w:r>
              <w:rPr>
                <w:sz w:val="26"/>
                <w:szCs w:val="26"/>
              </w:rPr>
              <w:t>» -  3 070,9 тис. грн.</w:t>
            </w:r>
          </w:p>
        </w:tc>
        <w:tc>
          <w:tcPr>
            <w:tcW w:w="3119" w:type="dxa"/>
            <w:shd w:val="clear" w:color="auto" w:fill="auto"/>
          </w:tcPr>
          <w:p w:rsidR="00427206" w:rsidRDefault="00427206" w:rsidP="00BC75DC">
            <w:pPr>
              <w:jc w:val="center"/>
              <w:rPr>
                <w:lang w:val="uk-UA"/>
              </w:rPr>
            </w:pPr>
            <w:r>
              <w:rPr>
                <w:lang w:val="uk-UA"/>
              </w:rPr>
              <w:t>5 557,1</w:t>
            </w:r>
          </w:p>
          <w:p w:rsidR="00427206" w:rsidRPr="003A0403" w:rsidRDefault="00427206" w:rsidP="00BC75DC">
            <w:pPr>
              <w:ind w:left="709"/>
              <w:jc w:val="center"/>
              <w:rPr>
                <w:lang w:val="uk-UA"/>
              </w:rPr>
            </w:pPr>
          </w:p>
        </w:tc>
      </w:tr>
      <w:tr w:rsidR="00427206" w:rsidRPr="005E294E" w:rsidTr="00BC75DC">
        <w:trPr>
          <w:jc w:val="center"/>
        </w:trPr>
        <w:tc>
          <w:tcPr>
            <w:tcW w:w="6587" w:type="dxa"/>
            <w:gridSpan w:val="2"/>
            <w:shd w:val="clear" w:color="auto" w:fill="auto"/>
          </w:tcPr>
          <w:p w:rsidR="00427206" w:rsidRPr="005E294E" w:rsidRDefault="00427206" w:rsidP="00BC75DC">
            <w:pPr>
              <w:ind w:firstLine="709"/>
              <w:jc w:val="center"/>
              <w:rPr>
                <w:lang w:val="uk-UA"/>
              </w:rPr>
            </w:pPr>
            <w:r w:rsidRPr="005E294E">
              <w:rPr>
                <w:b/>
                <w:lang w:val="uk-UA"/>
              </w:rPr>
              <w:t>Всього</w:t>
            </w:r>
          </w:p>
        </w:tc>
        <w:tc>
          <w:tcPr>
            <w:tcW w:w="3119" w:type="dxa"/>
            <w:shd w:val="clear" w:color="auto" w:fill="auto"/>
          </w:tcPr>
          <w:p w:rsidR="00427206" w:rsidRPr="005E294E" w:rsidRDefault="00427206" w:rsidP="00BC75DC">
            <w:pPr>
              <w:jc w:val="center"/>
              <w:rPr>
                <w:b/>
                <w:lang w:val="uk-UA"/>
              </w:rPr>
            </w:pPr>
            <w:r>
              <w:rPr>
                <w:b/>
                <w:lang w:val="uk-UA"/>
              </w:rPr>
              <w:t>11 326,2</w:t>
            </w:r>
          </w:p>
        </w:tc>
      </w:tr>
    </w:tbl>
    <w:p w:rsidR="00427206" w:rsidRDefault="00427206" w:rsidP="00427206">
      <w:pPr>
        <w:ind w:firstLine="709"/>
        <w:jc w:val="both"/>
        <w:rPr>
          <w:bCs/>
          <w:lang w:val="uk-UA"/>
        </w:rPr>
      </w:pPr>
      <w:r>
        <w:rPr>
          <w:bCs/>
          <w:lang w:val="uk-UA"/>
        </w:rPr>
        <w:t xml:space="preserve"> </w:t>
      </w:r>
      <w:r>
        <w:rPr>
          <w:lang w:val="uk-UA"/>
        </w:rPr>
        <w:t>За бюджетною програмою 6090 «Інша діяльність у сфері житлово-комунального господарства» виконання плану складає 100,0 % (уточнений план 5008,0 тис. грн., касові видатки 5 008,0 тис. грн.</w:t>
      </w:r>
      <w:r w:rsidR="00197972">
        <w:rPr>
          <w:lang w:val="uk-UA"/>
        </w:rPr>
        <w:t xml:space="preserve"> </w:t>
      </w:r>
      <w:r>
        <w:rPr>
          <w:lang w:val="uk-UA"/>
        </w:rPr>
        <w:t>оплат</w:t>
      </w:r>
      <w:r w:rsidR="00743205">
        <w:rPr>
          <w:lang w:val="uk-UA"/>
        </w:rPr>
        <w:t>а</w:t>
      </w:r>
      <w:r>
        <w:rPr>
          <w:lang w:val="uk-UA"/>
        </w:rPr>
        <w:t xml:space="preserve"> субсидіарної відповідальності за мировою угодою</w:t>
      </w:r>
      <w:r w:rsidR="00197972">
        <w:rPr>
          <w:lang w:val="uk-UA"/>
        </w:rPr>
        <w:t>)</w:t>
      </w:r>
      <w:r>
        <w:rPr>
          <w:lang w:val="uk-UA"/>
        </w:rPr>
        <w:t>.</w:t>
      </w:r>
    </w:p>
    <w:p w:rsidR="00427206" w:rsidRDefault="00427206" w:rsidP="00427206">
      <w:pPr>
        <w:ind w:firstLine="709"/>
        <w:rPr>
          <w:b/>
          <w:sz w:val="26"/>
          <w:szCs w:val="26"/>
          <w:lang w:val="uk-UA"/>
        </w:rPr>
      </w:pPr>
      <w:r>
        <w:rPr>
          <w:lang w:val="uk-UA"/>
        </w:rPr>
        <w:t>Кредиторська заборгованість на кінець звітного періоду відсутня.</w:t>
      </w:r>
    </w:p>
    <w:p w:rsidR="007E6A1B" w:rsidRPr="00506078" w:rsidRDefault="007E6A1B" w:rsidP="003631A6">
      <w:pPr>
        <w:ind w:firstLine="709"/>
        <w:jc w:val="center"/>
        <w:rPr>
          <w:b/>
          <w:bCs/>
          <w:i/>
          <w:sz w:val="10"/>
          <w:szCs w:val="10"/>
          <w:u w:val="single"/>
          <w:lang w:val="uk-UA"/>
        </w:rPr>
      </w:pPr>
    </w:p>
    <w:p w:rsidR="005D6413" w:rsidRDefault="005D6413" w:rsidP="005D6413">
      <w:pPr>
        <w:ind w:firstLine="709"/>
        <w:jc w:val="center"/>
        <w:rPr>
          <w:b/>
          <w:bCs/>
          <w:i/>
          <w:sz w:val="26"/>
          <w:szCs w:val="26"/>
          <w:u w:val="single"/>
          <w:lang w:val="uk-UA"/>
        </w:rPr>
      </w:pPr>
      <w:r>
        <w:rPr>
          <w:b/>
          <w:bCs/>
          <w:i/>
          <w:sz w:val="26"/>
          <w:szCs w:val="26"/>
          <w:u w:val="single"/>
          <w:lang w:val="uk-UA"/>
        </w:rPr>
        <w:t>7000 « Економічна діяльність»</w:t>
      </w:r>
    </w:p>
    <w:p w:rsidR="005D6413" w:rsidRDefault="005D6413" w:rsidP="005D6413">
      <w:pPr>
        <w:ind w:firstLine="709"/>
        <w:jc w:val="center"/>
        <w:rPr>
          <w:b/>
          <w:bCs/>
          <w:i/>
          <w:sz w:val="16"/>
          <w:szCs w:val="16"/>
          <w:u w:val="single"/>
          <w:lang w:val="uk-UA"/>
        </w:rPr>
      </w:pPr>
    </w:p>
    <w:p w:rsidR="0007795C" w:rsidRDefault="005D6413" w:rsidP="0007795C">
      <w:pPr>
        <w:ind w:firstLine="851"/>
        <w:jc w:val="both"/>
        <w:rPr>
          <w:lang w:val="uk-UA"/>
        </w:rPr>
      </w:pPr>
      <w:r>
        <w:rPr>
          <w:bCs/>
          <w:lang w:val="uk-UA"/>
        </w:rPr>
        <w:t xml:space="preserve">На галузь «Економічна діяльність» </w:t>
      </w:r>
      <w:r>
        <w:rPr>
          <w:rFonts w:eastAsia="Calibri"/>
          <w:lang w:val="uk-UA"/>
        </w:rPr>
        <w:t>виконання плану по загальному фонду складає 30,0% (уточнений план 3 076,3 тис. грн., касові видатки 923,8 тис. грн.) по спеціальному фонду 1,7% (уточнений план 76 141,2 тис. грн., касові видатки 1 275,9 тис. грн.).</w:t>
      </w:r>
      <w:r w:rsidR="0007795C" w:rsidRPr="0007795C">
        <w:rPr>
          <w:lang w:val="uk-UA"/>
        </w:rPr>
        <w:t xml:space="preserve"> </w:t>
      </w:r>
      <w:r w:rsidR="0007795C" w:rsidRPr="009A12E0">
        <w:rPr>
          <w:lang w:val="uk-UA"/>
        </w:rPr>
        <w:t>Відповідно до минулого періоду 2020 року видатки загального фонду з</w:t>
      </w:r>
      <w:r w:rsidR="0007795C">
        <w:rPr>
          <w:lang w:val="uk-UA"/>
        </w:rPr>
        <w:t>меншені</w:t>
      </w:r>
      <w:r w:rsidR="0007795C" w:rsidRPr="009A12E0">
        <w:rPr>
          <w:lang w:val="uk-UA"/>
        </w:rPr>
        <w:t xml:space="preserve"> на </w:t>
      </w:r>
      <w:r w:rsidR="0007795C">
        <w:rPr>
          <w:lang w:val="uk-UA"/>
        </w:rPr>
        <w:t>65,5</w:t>
      </w:r>
      <w:r w:rsidR="0007795C" w:rsidRPr="009A12E0">
        <w:rPr>
          <w:lang w:val="uk-UA"/>
        </w:rPr>
        <w:t xml:space="preserve"> тис. грн., або на </w:t>
      </w:r>
      <w:r w:rsidR="0007795C">
        <w:rPr>
          <w:lang w:val="uk-UA"/>
        </w:rPr>
        <w:t>6,6</w:t>
      </w:r>
      <w:r w:rsidR="0007795C" w:rsidRPr="009A12E0">
        <w:rPr>
          <w:lang w:val="uk-UA"/>
        </w:rPr>
        <w:t xml:space="preserve"> </w:t>
      </w:r>
      <w:r w:rsidR="0007795C">
        <w:rPr>
          <w:lang w:val="uk-UA"/>
        </w:rPr>
        <w:t>%, спеціального фонду зменшені на 7 800,1 тис. грн, або на 85,9%.</w:t>
      </w:r>
    </w:p>
    <w:p w:rsidR="005D6413" w:rsidRPr="00506078" w:rsidRDefault="005D6413" w:rsidP="005D6413">
      <w:pPr>
        <w:ind w:firstLine="709"/>
        <w:jc w:val="both"/>
        <w:rPr>
          <w:rFonts w:eastAsia="Calibri"/>
          <w:sz w:val="10"/>
          <w:szCs w:val="10"/>
          <w:lang w:val="uk-UA"/>
        </w:rPr>
      </w:pPr>
    </w:p>
    <w:p w:rsidR="005D6413" w:rsidRPr="00DB3DCF" w:rsidRDefault="005D6413" w:rsidP="005D6413">
      <w:pPr>
        <w:ind w:firstLine="709"/>
        <w:jc w:val="both"/>
        <w:rPr>
          <w:rFonts w:eastAsia="Calibri"/>
          <w:b/>
          <w:i/>
          <w:lang w:val="uk-UA"/>
        </w:rPr>
      </w:pPr>
      <w:r w:rsidRPr="00DB3DCF">
        <w:rPr>
          <w:rFonts w:eastAsia="Calibri"/>
          <w:b/>
          <w:i/>
          <w:lang w:val="uk-UA"/>
        </w:rPr>
        <w:t>Загальний фонд</w:t>
      </w:r>
    </w:p>
    <w:p w:rsidR="005D6413" w:rsidRDefault="005D6413" w:rsidP="005D6413">
      <w:pPr>
        <w:ind w:firstLine="709"/>
        <w:jc w:val="both"/>
        <w:rPr>
          <w:rFonts w:eastAsia="Calibri"/>
          <w:lang w:val="uk-UA"/>
        </w:rPr>
      </w:pPr>
      <w:r>
        <w:rPr>
          <w:lang w:val="uk-UA"/>
        </w:rPr>
        <w:t xml:space="preserve">За бюджетною програмою 7461 «Утримання та розвиток автомобільних доріг та дорожньої інфраструктури за рахунок коштів місцевого бюджету» </w:t>
      </w:r>
      <w:r>
        <w:rPr>
          <w:rFonts w:eastAsia="Calibri"/>
          <w:lang w:val="uk-UA"/>
        </w:rPr>
        <w:t xml:space="preserve">виконання плану по загальному фонду складає 33,8% (уточнений план 2 730,0 тис. грн., касові видатки 923,8 тис. грн.). </w:t>
      </w:r>
    </w:p>
    <w:p w:rsidR="005D6413" w:rsidRPr="00DB3DCF" w:rsidRDefault="005D6413" w:rsidP="005D6413">
      <w:pPr>
        <w:ind w:firstLine="709"/>
        <w:jc w:val="both"/>
        <w:rPr>
          <w:rFonts w:eastAsia="Calibri"/>
          <w:b/>
          <w:i/>
          <w:lang w:val="uk-UA"/>
        </w:rPr>
      </w:pPr>
      <w:r w:rsidRPr="00DB3DCF">
        <w:rPr>
          <w:rFonts w:eastAsia="Calibri"/>
          <w:b/>
          <w:i/>
          <w:lang w:val="uk-UA"/>
        </w:rPr>
        <w:t>Спеціальний фонд</w:t>
      </w:r>
    </w:p>
    <w:p w:rsidR="005D6413" w:rsidRDefault="005D6413" w:rsidP="005D6413">
      <w:pPr>
        <w:ind w:firstLine="709"/>
        <w:jc w:val="both"/>
        <w:rPr>
          <w:lang w:val="uk-UA"/>
        </w:rPr>
      </w:pPr>
      <w:r>
        <w:rPr>
          <w:lang w:val="uk-UA"/>
        </w:rPr>
        <w:t>В</w:t>
      </w:r>
      <w:r w:rsidRPr="0063520C">
        <w:rPr>
          <w:lang w:val="uk-UA"/>
        </w:rPr>
        <w:t xml:space="preserve">идатки </w:t>
      </w:r>
      <w:r>
        <w:rPr>
          <w:lang w:val="uk-UA"/>
        </w:rPr>
        <w:t xml:space="preserve">по </w:t>
      </w:r>
      <w:r w:rsidRPr="0063520C">
        <w:rPr>
          <w:lang w:val="uk-UA"/>
        </w:rPr>
        <w:t>спеціальн</w:t>
      </w:r>
      <w:r>
        <w:rPr>
          <w:lang w:val="uk-UA"/>
        </w:rPr>
        <w:t>ому</w:t>
      </w:r>
      <w:r w:rsidRPr="0063520C">
        <w:rPr>
          <w:lang w:val="uk-UA"/>
        </w:rPr>
        <w:t xml:space="preserve"> фонд</w:t>
      </w:r>
      <w:r>
        <w:rPr>
          <w:lang w:val="uk-UA"/>
        </w:rPr>
        <w:t>у</w:t>
      </w:r>
      <w:r w:rsidRPr="0063520C">
        <w:rPr>
          <w:lang w:val="uk-UA"/>
        </w:rPr>
        <w:t xml:space="preserve"> за І квартал 2021 року </w:t>
      </w:r>
      <w:r>
        <w:rPr>
          <w:lang w:val="uk-UA"/>
        </w:rPr>
        <w:t xml:space="preserve">склали </w:t>
      </w:r>
      <w:r w:rsidRPr="0063520C">
        <w:rPr>
          <w:lang w:val="uk-UA"/>
        </w:rPr>
        <w:t>1 275,9 тис. грн</w:t>
      </w:r>
      <w:r>
        <w:rPr>
          <w:lang w:val="uk-UA"/>
        </w:rPr>
        <w:t>.</w:t>
      </w:r>
      <w:r w:rsidRPr="0063520C">
        <w:rPr>
          <w:lang w:val="uk-UA"/>
        </w:rPr>
        <w:t xml:space="preserve"> при уточненому плані 76 141,2 тис. грн, що становить</w:t>
      </w:r>
      <w:r>
        <w:rPr>
          <w:lang w:val="uk-UA"/>
        </w:rPr>
        <w:t xml:space="preserve"> 1,7</w:t>
      </w:r>
      <w:r w:rsidRPr="0063520C">
        <w:rPr>
          <w:lang w:val="uk-UA"/>
        </w:rPr>
        <w:t xml:space="preserve"> %</w:t>
      </w:r>
      <w:r>
        <w:rPr>
          <w:lang w:val="uk-UA"/>
        </w:rPr>
        <w:t xml:space="preserve"> виконання.</w:t>
      </w:r>
    </w:p>
    <w:p w:rsidR="005D6413" w:rsidRDefault="005D6413" w:rsidP="005D6413">
      <w:pPr>
        <w:ind w:firstLine="709"/>
        <w:jc w:val="both"/>
        <w:rPr>
          <w:lang w:val="uk-UA"/>
        </w:rPr>
      </w:pPr>
      <w:r>
        <w:rPr>
          <w:lang w:val="uk-UA"/>
        </w:rPr>
        <w:t xml:space="preserve">Зокрема </w:t>
      </w:r>
      <w:r w:rsidRPr="0063520C">
        <w:rPr>
          <w:lang w:val="uk-UA"/>
        </w:rPr>
        <w:t>за рахунок  бюджету розвитку фактично використано 12,9 тис.</w:t>
      </w:r>
      <w:r>
        <w:rPr>
          <w:lang w:val="uk-UA"/>
        </w:rPr>
        <w:t xml:space="preserve"> </w:t>
      </w:r>
      <w:r w:rsidRPr="0063520C">
        <w:rPr>
          <w:lang w:val="uk-UA"/>
        </w:rPr>
        <w:t xml:space="preserve">грн. та за рахунок цільового фонду </w:t>
      </w:r>
      <w:r>
        <w:rPr>
          <w:lang w:val="uk-UA"/>
        </w:rPr>
        <w:t>-</w:t>
      </w:r>
      <w:r w:rsidRPr="0063520C">
        <w:rPr>
          <w:lang w:val="uk-UA"/>
        </w:rPr>
        <w:t xml:space="preserve"> 1 263,0 тис.</w:t>
      </w:r>
      <w:r>
        <w:rPr>
          <w:lang w:val="uk-UA"/>
        </w:rPr>
        <w:t xml:space="preserve"> </w:t>
      </w:r>
      <w:r w:rsidRPr="0063520C">
        <w:rPr>
          <w:lang w:val="uk-UA"/>
        </w:rPr>
        <w:t>грн.</w:t>
      </w:r>
    </w:p>
    <w:p w:rsidR="005D6413" w:rsidRDefault="005D6413" w:rsidP="005D6413">
      <w:pPr>
        <w:ind w:firstLine="709"/>
        <w:jc w:val="both"/>
        <w:rPr>
          <w:lang w:val="uk-UA"/>
        </w:rPr>
      </w:pPr>
      <w:r>
        <w:rPr>
          <w:lang w:val="uk-UA"/>
        </w:rPr>
        <w:t>Кошти були спрямовані на:</w:t>
      </w:r>
    </w:p>
    <w:p w:rsidR="005D6413" w:rsidRDefault="0007795C" w:rsidP="0007795C">
      <w:pPr>
        <w:ind w:left="426"/>
        <w:jc w:val="both"/>
        <w:rPr>
          <w:lang w:val="uk-UA"/>
        </w:rPr>
      </w:pPr>
      <w:r>
        <w:rPr>
          <w:lang w:val="uk-UA"/>
        </w:rPr>
        <w:t xml:space="preserve">-  </w:t>
      </w:r>
      <w:r w:rsidR="00F323C2">
        <w:rPr>
          <w:lang w:val="uk-UA"/>
        </w:rPr>
        <w:t>експе</w:t>
      </w:r>
      <w:r w:rsidR="005D6413">
        <w:rPr>
          <w:lang w:val="uk-UA"/>
        </w:rPr>
        <w:t>ртн</w:t>
      </w:r>
      <w:r w:rsidR="00F323C2">
        <w:rPr>
          <w:lang w:val="uk-UA"/>
        </w:rPr>
        <w:t>о-</w:t>
      </w:r>
      <w:r w:rsidR="005D6413">
        <w:rPr>
          <w:lang w:val="uk-UA"/>
        </w:rPr>
        <w:t xml:space="preserve"> грошову оцінку землі;</w:t>
      </w:r>
    </w:p>
    <w:p w:rsidR="005D6413" w:rsidRDefault="0007795C" w:rsidP="0007795C">
      <w:pPr>
        <w:ind w:left="426"/>
        <w:jc w:val="both"/>
        <w:rPr>
          <w:lang w:val="uk-UA"/>
        </w:rPr>
      </w:pPr>
      <w:r>
        <w:rPr>
          <w:lang w:val="uk-UA"/>
        </w:rPr>
        <w:t xml:space="preserve">-  </w:t>
      </w:r>
      <w:r w:rsidR="005D6413">
        <w:rPr>
          <w:lang w:val="uk-UA"/>
        </w:rPr>
        <w:t>придбання посадкового матеріалу для озеленення громади;</w:t>
      </w:r>
    </w:p>
    <w:p w:rsidR="005D6413" w:rsidRDefault="0007795C" w:rsidP="0007795C">
      <w:pPr>
        <w:ind w:left="426"/>
        <w:jc w:val="both"/>
        <w:rPr>
          <w:lang w:val="uk-UA"/>
        </w:rPr>
      </w:pPr>
      <w:r>
        <w:rPr>
          <w:lang w:val="uk-UA"/>
        </w:rPr>
        <w:t xml:space="preserve">-  </w:t>
      </w:r>
      <w:r w:rsidR="005D6413">
        <w:rPr>
          <w:lang w:val="uk-UA"/>
        </w:rPr>
        <w:t>придбання садових інструментів;</w:t>
      </w:r>
    </w:p>
    <w:p w:rsidR="005D6413" w:rsidRPr="004658ED" w:rsidRDefault="0007795C" w:rsidP="0007795C">
      <w:pPr>
        <w:ind w:left="426"/>
        <w:jc w:val="both"/>
        <w:rPr>
          <w:lang w:val="uk-UA"/>
        </w:rPr>
      </w:pPr>
      <w:r>
        <w:rPr>
          <w:lang w:val="uk-UA"/>
        </w:rPr>
        <w:t xml:space="preserve">-  </w:t>
      </w:r>
      <w:r w:rsidR="005D6413">
        <w:rPr>
          <w:lang w:val="uk-UA"/>
        </w:rPr>
        <w:t>поточні видатки на утримання парків громади.</w:t>
      </w:r>
    </w:p>
    <w:p w:rsidR="005D6413" w:rsidRDefault="005D6413" w:rsidP="005D6413">
      <w:pPr>
        <w:ind w:firstLine="709"/>
        <w:jc w:val="both"/>
        <w:rPr>
          <w:lang w:val="uk-UA"/>
        </w:rPr>
      </w:pPr>
      <w:r>
        <w:rPr>
          <w:lang w:val="uk-UA"/>
        </w:rPr>
        <w:t>Кредиторська заборгованість на кінець звітного періоду відсутня.</w:t>
      </w:r>
    </w:p>
    <w:p w:rsidR="00506078" w:rsidRPr="00506078" w:rsidRDefault="00506078" w:rsidP="00506078">
      <w:pPr>
        <w:ind w:firstLine="709"/>
        <w:jc w:val="center"/>
        <w:rPr>
          <w:b/>
          <w:bCs/>
          <w:i/>
          <w:sz w:val="10"/>
          <w:szCs w:val="10"/>
          <w:u w:val="single"/>
          <w:lang w:val="uk-UA"/>
        </w:rPr>
      </w:pPr>
    </w:p>
    <w:p w:rsidR="005D6413" w:rsidRDefault="005D6413" w:rsidP="005D6413">
      <w:pPr>
        <w:ind w:firstLine="709"/>
        <w:jc w:val="center"/>
        <w:rPr>
          <w:b/>
          <w:bCs/>
          <w:i/>
          <w:sz w:val="26"/>
          <w:szCs w:val="26"/>
          <w:u w:val="single"/>
          <w:lang w:val="uk-UA"/>
        </w:rPr>
      </w:pPr>
      <w:r>
        <w:rPr>
          <w:b/>
          <w:bCs/>
          <w:i/>
          <w:sz w:val="26"/>
          <w:szCs w:val="26"/>
          <w:u w:val="single"/>
          <w:lang w:val="uk-UA"/>
        </w:rPr>
        <w:t>8000 « Інша діяльність »</w:t>
      </w:r>
    </w:p>
    <w:p w:rsidR="005D6413" w:rsidRPr="00506078" w:rsidRDefault="005D6413" w:rsidP="005D6413">
      <w:pPr>
        <w:ind w:firstLine="709"/>
        <w:jc w:val="center"/>
        <w:rPr>
          <w:b/>
          <w:bCs/>
          <w:i/>
          <w:sz w:val="10"/>
          <w:szCs w:val="10"/>
          <w:u w:val="single"/>
          <w:lang w:val="uk-UA"/>
        </w:rPr>
      </w:pPr>
    </w:p>
    <w:p w:rsidR="005D6413" w:rsidRDefault="005D6413" w:rsidP="00AC1080">
      <w:pPr>
        <w:ind w:firstLine="851"/>
        <w:jc w:val="both"/>
        <w:rPr>
          <w:lang w:val="uk-UA"/>
        </w:rPr>
      </w:pPr>
      <w:r w:rsidRPr="00C96F79">
        <w:rPr>
          <w:bCs/>
          <w:lang w:val="uk-UA"/>
        </w:rPr>
        <w:t xml:space="preserve">На дану галузь за </w:t>
      </w:r>
      <w:r>
        <w:rPr>
          <w:bCs/>
          <w:lang w:val="uk-UA"/>
        </w:rPr>
        <w:t>І квартал 2021</w:t>
      </w:r>
      <w:r w:rsidRPr="00C96F79">
        <w:rPr>
          <w:bCs/>
          <w:lang w:val="uk-UA"/>
        </w:rPr>
        <w:t xml:space="preserve"> р</w:t>
      </w:r>
      <w:r>
        <w:rPr>
          <w:bCs/>
          <w:lang w:val="uk-UA"/>
        </w:rPr>
        <w:t>о</w:t>
      </w:r>
      <w:r w:rsidRPr="00C96F79">
        <w:rPr>
          <w:bCs/>
          <w:lang w:val="uk-UA"/>
        </w:rPr>
        <w:t>к</w:t>
      </w:r>
      <w:r>
        <w:rPr>
          <w:bCs/>
          <w:lang w:val="uk-UA"/>
        </w:rPr>
        <w:t>у</w:t>
      </w:r>
      <w:r w:rsidRPr="00C96F79">
        <w:rPr>
          <w:bCs/>
          <w:lang w:val="uk-UA"/>
        </w:rPr>
        <w:t xml:space="preserve"> </w:t>
      </w:r>
      <w:r>
        <w:rPr>
          <w:rFonts w:eastAsia="Calibri"/>
          <w:lang w:val="uk-UA"/>
        </w:rPr>
        <w:t>виконання плану по загальному фонду складає 41,9% (уточнений план 355,0 тис. грн., касові видатки 148,8 тис. грн.) по спеціальному фонду касові видатки не проводились.</w:t>
      </w:r>
      <w:r w:rsidR="00A349E2" w:rsidRPr="00A349E2">
        <w:rPr>
          <w:lang w:val="uk-UA"/>
        </w:rPr>
        <w:t xml:space="preserve"> </w:t>
      </w:r>
      <w:r w:rsidR="00A349E2" w:rsidRPr="009A12E0">
        <w:rPr>
          <w:lang w:val="uk-UA"/>
        </w:rPr>
        <w:t xml:space="preserve">Відповідно до минулого періоду 2020 року видатки загального фонду збільшені на </w:t>
      </w:r>
      <w:r w:rsidR="00A349E2">
        <w:rPr>
          <w:lang w:val="uk-UA"/>
        </w:rPr>
        <w:t>128,8</w:t>
      </w:r>
      <w:r w:rsidR="00A349E2" w:rsidRPr="009A12E0">
        <w:rPr>
          <w:lang w:val="uk-UA"/>
        </w:rPr>
        <w:t xml:space="preserve"> тис. грн., або </w:t>
      </w:r>
      <w:r w:rsidR="00A349E2">
        <w:rPr>
          <w:lang w:val="uk-UA"/>
        </w:rPr>
        <w:t>у 7,4 разів.</w:t>
      </w:r>
      <w:r w:rsidR="00A349E2" w:rsidRPr="009A12E0">
        <w:rPr>
          <w:lang w:val="uk-UA"/>
        </w:rPr>
        <w:t xml:space="preserve">. </w:t>
      </w:r>
      <w:r w:rsidR="00A349E2">
        <w:rPr>
          <w:lang w:val="uk-UA"/>
        </w:rPr>
        <w:t xml:space="preserve">Збільшення видаткової частини зумовлено збільшенням кількості надання матеріальних допомог постраждалим та збільшенням території обслуговування. </w:t>
      </w:r>
    </w:p>
    <w:p w:rsidR="005D6413" w:rsidRDefault="005D6413" w:rsidP="005D6413">
      <w:pPr>
        <w:ind w:firstLine="851"/>
        <w:jc w:val="both"/>
        <w:rPr>
          <w:lang w:val="uk-UA"/>
        </w:rPr>
      </w:pPr>
      <w:r>
        <w:rPr>
          <w:bCs/>
          <w:lang w:val="uk-UA"/>
        </w:rPr>
        <w:lastRenderedPageBreak/>
        <w:t>Видатки проводилися з</w:t>
      </w:r>
      <w:r w:rsidRPr="00F91666">
        <w:rPr>
          <w:bCs/>
          <w:lang w:val="uk-UA"/>
        </w:rPr>
        <w:t xml:space="preserve">а </w:t>
      </w:r>
      <w:r w:rsidRPr="00EF7294">
        <w:rPr>
          <w:lang w:val="uk-UA"/>
        </w:rPr>
        <w:t xml:space="preserve">бюджетною програмою 8110 «Заходи із запобігання та ліквідації надзвичайних ситуацій та наслідків стихійного лиха» </w:t>
      </w:r>
      <w:r>
        <w:rPr>
          <w:lang w:val="uk-UA"/>
        </w:rPr>
        <w:t>і</w:t>
      </w:r>
      <w:r w:rsidRPr="00EF7294">
        <w:rPr>
          <w:lang w:val="uk-UA"/>
        </w:rPr>
        <w:t xml:space="preserve"> були направлені на :</w:t>
      </w:r>
    </w:p>
    <w:p w:rsidR="005D6413" w:rsidRDefault="005D6413" w:rsidP="005D6413">
      <w:pPr>
        <w:numPr>
          <w:ilvl w:val="0"/>
          <w:numId w:val="1"/>
        </w:numPr>
        <w:ind w:left="0" w:firstLine="851"/>
        <w:jc w:val="both"/>
        <w:rPr>
          <w:lang w:val="uk-UA"/>
        </w:rPr>
      </w:pPr>
      <w:r w:rsidRPr="00EF7294">
        <w:rPr>
          <w:lang w:val="uk-UA"/>
        </w:rPr>
        <w:t xml:space="preserve">виплату матеріальних допомог постраждалим від пожеж </w:t>
      </w:r>
      <w:r>
        <w:rPr>
          <w:lang w:val="uk-UA"/>
        </w:rPr>
        <w:t>( 5 осіб ) - 49,0</w:t>
      </w:r>
      <w:r w:rsidRPr="00EF7294">
        <w:rPr>
          <w:lang w:val="uk-UA"/>
        </w:rPr>
        <w:t xml:space="preserve"> тис. грн.,</w:t>
      </w:r>
    </w:p>
    <w:p w:rsidR="005D6413" w:rsidRPr="00154950" w:rsidRDefault="005D6413" w:rsidP="005D6413">
      <w:pPr>
        <w:numPr>
          <w:ilvl w:val="0"/>
          <w:numId w:val="1"/>
        </w:numPr>
        <w:ind w:left="0" w:firstLine="851"/>
        <w:jc w:val="both"/>
        <w:rPr>
          <w:lang w:val="uk-UA"/>
        </w:rPr>
      </w:pPr>
      <w:r w:rsidRPr="00154950">
        <w:rPr>
          <w:lang w:val="uk-UA"/>
        </w:rPr>
        <w:t>окремі заходи по реалізації державних (регіональних) програм, не віднесених до заходів розвитку (оплата за систему відеоспостереження, оплата послуг з прибирання снігу при ліквідації надзвичайних ситуацій)</w:t>
      </w:r>
      <w:r>
        <w:rPr>
          <w:lang w:val="uk-UA"/>
        </w:rPr>
        <w:t xml:space="preserve"> – 99,8 тис. грн.</w:t>
      </w:r>
    </w:p>
    <w:p w:rsidR="005D6413" w:rsidRDefault="005D6413" w:rsidP="005D6413">
      <w:pPr>
        <w:ind w:firstLine="709"/>
        <w:jc w:val="both"/>
        <w:rPr>
          <w:lang w:val="uk-UA"/>
        </w:rPr>
      </w:pPr>
      <w:r>
        <w:rPr>
          <w:lang w:val="uk-UA"/>
        </w:rPr>
        <w:t>Кредиторська заборгованість на кінець звітного періоду відсутня.</w:t>
      </w:r>
    </w:p>
    <w:p w:rsidR="00566180" w:rsidRPr="00506078" w:rsidRDefault="00566180" w:rsidP="003A45A2">
      <w:pPr>
        <w:ind w:firstLine="709"/>
        <w:jc w:val="both"/>
        <w:rPr>
          <w:sz w:val="10"/>
          <w:szCs w:val="10"/>
          <w:lang w:val="uk-UA"/>
        </w:rPr>
      </w:pPr>
    </w:p>
    <w:p w:rsidR="00A5513C" w:rsidRPr="00E91359" w:rsidRDefault="00A5513C" w:rsidP="00A5513C">
      <w:pPr>
        <w:pStyle w:val="a9"/>
        <w:ind w:firstLine="567"/>
        <w:rPr>
          <w:b/>
          <w:szCs w:val="28"/>
          <w:u w:val="single"/>
        </w:rPr>
      </w:pPr>
      <w:r w:rsidRPr="00E91359">
        <w:rPr>
          <w:b/>
          <w:szCs w:val="28"/>
          <w:u w:val="single"/>
        </w:rPr>
        <w:t>Міжбюджетні трансферти</w:t>
      </w:r>
    </w:p>
    <w:p w:rsidR="001944D5" w:rsidRPr="005D6413" w:rsidRDefault="001944D5" w:rsidP="00A5513C">
      <w:pPr>
        <w:pStyle w:val="a9"/>
        <w:ind w:firstLine="567"/>
        <w:rPr>
          <w:b/>
          <w:color w:val="FF0000"/>
          <w:sz w:val="10"/>
          <w:szCs w:val="10"/>
          <w:u w:val="single"/>
        </w:rPr>
      </w:pPr>
    </w:p>
    <w:p w:rsidR="00F3284E" w:rsidRPr="00E91359" w:rsidRDefault="00BE22CE" w:rsidP="00610910">
      <w:pPr>
        <w:pStyle w:val="a9"/>
        <w:ind w:firstLine="567"/>
        <w:jc w:val="both"/>
        <w:rPr>
          <w:sz w:val="24"/>
        </w:rPr>
      </w:pPr>
      <w:r w:rsidRPr="00E91359">
        <w:rPr>
          <w:sz w:val="24"/>
        </w:rPr>
        <w:t xml:space="preserve"> За </w:t>
      </w:r>
      <w:r w:rsidR="00E91359" w:rsidRPr="00E91359">
        <w:rPr>
          <w:sz w:val="24"/>
          <w:lang w:val="en-US"/>
        </w:rPr>
        <w:t>I</w:t>
      </w:r>
      <w:r w:rsidR="00E91359" w:rsidRPr="00E91359">
        <w:rPr>
          <w:sz w:val="24"/>
          <w:lang w:val="ru-RU"/>
        </w:rPr>
        <w:t xml:space="preserve"> </w:t>
      </w:r>
      <w:r w:rsidR="00E91359" w:rsidRPr="00E91359">
        <w:rPr>
          <w:sz w:val="24"/>
        </w:rPr>
        <w:t>квартал 2021</w:t>
      </w:r>
      <w:r w:rsidRPr="00E91359">
        <w:rPr>
          <w:sz w:val="24"/>
        </w:rPr>
        <w:t xml:space="preserve"> р</w:t>
      </w:r>
      <w:r w:rsidR="00E91359" w:rsidRPr="00E91359">
        <w:rPr>
          <w:sz w:val="24"/>
        </w:rPr>
        <w:t>о</w:t>
      </w:r>
      <w:r w:rsidR="00C06337" w:rsidRPr="00E91359">
        <w:rPr>
          <w:sz w:val="24"/>
        </w:rPr>
        <w:t>к</w:t>
      </w:r>
      <w:r w:rsidR="00E91359" w:rsidRPr="00E91359">
        <w:rPr>
          <w:sz w:val="24"/>
        </w:rPr>
        <w:t>у</w:t>
      </w:r>
      <w:r w:rsidRPr="00E91359">
        <w:rPr>
          <w:sz w:val="24"/>
        </w:rPr>
        <w:t xml:space="preserve"> до загального фонду міського бюджету надійшло </w:t>
      </w:r>
      <w:r w:rsidR="00AC0809" w:rsidRPr="00E91359">
        <w:rPr>
          <w:sz w:val="24"/>
        </w:rPr>
        <w:t>офіційних трансфертів</w:t>
      </w:r>
      <w:r w:rsidR="00C32500" w:rsidRPr="00E91359">
        <w:rPr>
          <w:sz w:val="24"/>
        </w:rPr>
        <w:t xml:space="preserve"> </w:t>
      </w:r>
      <w:r w:rsidR="00E91359" w:rsidRPr="00E91359">
        <w:rPr>
          <w:sz w:val="24"/>
        </w:rPr>
        <w:t>37 666,1</w:t>
      </w:r>
      <w:r w:rsidR="00C32500" w:rsidRPr="00E91359">
        <w:rPr>
          <w:sz w:val="24"/>
        </w:rPr>
        <w:t xml:space="preserve"> тис. грн., а саме:</w:t>
      </w:r>
    </w:p>
    <w:p w:rsidR="00BE22CE" w:rsidRPr="00E91359" w:rsidRDefault="00BE22CE" w:rsidP="001A0427">
      <w:pPr>
        <w:pStyle w:val="a9"/>
        <w:numPr>
          <w:ilvl w:val="0"/>
          <w:numId w:val="1"/>
        </w:numPr>
        <w:ind w:left="0" w:firstLine="567"/>
        <w:jc w:val="both"/>
        <w:rPr>
          <w:sz w:val="24"/>
        </w:rPr>
      </w:pPr>
      <w:r w:rsidRPr="00E91359">
        <w:rPr>
          <w:sz w:val="24"/>
        </w:rPr>
        <w:t xml:space="preserve">освітня субвенція з державного бюджету місцевим бюджетам – </w:t>
      </w:r>
      <w:r w:rsidR="00E91359" w:rsidRPr="00E91359">
        <w:rPr>
          <w:sz w:val="24"/>
        </w:rPr>
        <w:t>33 661,6</w:t>
      </w:r>
      <w:r w:rsidRPr="00E91359">
        <w:rPr>
          <w:sz w:val="24"/>
        </w:rPr>
        <w:t xml:space="preserve"> тис. грн.;</w:t>
      </w:r>
    </w:p>
    <w:p w:rsidR="00BE22CE" w:rsidRPr="00F041BC" w:rsidRDefault="00BE22CE" w:rsidP="001A0427">
      <w:pPr>
        <w:pStyle w:val="a9"/>
        <w:numPr>
          <w:ilvl w:val="0"/>
          <w:numId w:val="1"/>
        </w:numPr>
        <w:ind w:left="0" w:firstLine="567"/>
        <w:jc w:val="both"/>
        <w:rPr>
          <w:sz w:val="24"/>
        </w:rPr>
      </w:pPr>
      <w:r w:rsidRPr="00F041BC">
        <w:rPr>
          <w:sz w:val="24"/>
        </w:rPr>
        <w:t>дотація з місцевого бюджету на здійснення переданих видатків з утримання закладів освіти та охорони здоров</w:t>
      </w:r>
      <w:r w:rsidRPr="00F041BC">
        <w:rPr>
          <w:rFonts w:ascii="Calibri" w:hAnsi="Calibri" w:cs="Calibri"/>
          <w:sz w:val="24"/>
        </w:rPr>
        <w:t>'</w:t>
      </w:r>
      <w:r w:rsidRPr="00F041BC">
        <w:rPr>
          <w:sz w:val="24"/>
        </w:rPr>
        <w:t xml:space="preserve">я за рахунок відповідної додаткової дотації з державного бюджету – </w:t>
      </w:r>
      <w:r w:rsidR="00F041BC" w:rsidRPr="00F041BC">
        <w:rPr>
          <w:sz w:val="24"/>
        </w:rPr>
        <w:t>1 647,3</w:t>
      </w:r>
      <w:r w:rsidRPr="00F041BC">
        <w:rPr>
          <w:sz w:val="24"/>
        </w:rPr>
        <w:t xml:space="preserve"> тис. грн.;</w:t>
      </w:r>
    </w:p>
    <w:p w:rsidR="00AC0809" w:rsidRPr="006469DD" w:rsidRDefault="00AC0809" w:rsidP="001A0427">
      <w:pPr>
        <w:pStyle w:val="a9"/>
        <w:numPr>
          <w:ilvl w:val="0"/>
          <w:numId w:val="1"/>
        </w:numPr>
        <w:ind w:left="0" w:firstLine="567"/>
        <w:jc w:val="both"/>
        <w:rPr>
          <w:sz w:val="24"/>
        </w:rPr>
      </w:pPr>
      <w:r w:rsidRPr="006469DD">
        <w:rPr>
          <w:sz w:val="24"/>
        </w:rPr>
        <w:t xml:space="preserve">субвенція з місцевого бюджету на здійснення переданих видатків у сфері освіти за рахунок коштів освітньої субвенції – </w:t>
      </w:r>
      <w:r w:rsidR="006469DD" w:rsidRPr="006469DD">
        <w:rPr>
          <w:sz w:val="24"/>
        </w:rPr>
        <w:t>1 067,3</w:t>
      </w:r>
      <w:r w:rsidRPr="006469DD">
        <w:rPr>
          <w:sz w:val="24"/>
        </w:rPr>
        <w:t xml:space="preserve"> тис. грн.;</w:t>
      </w:r>
    </w:p>
    <w:p w:rsidR="00AC0809" w:rsidRPr="002B119E" w:rsidRDefault="00AC0809" w:rsidP="001A0427">
      <w:pPr>
        <w:pStyle w:val="a9"/>
        <w:numPr>
          <w:ilvl w:val="0"/>
          <w:numId w:val="1"/>
        </w:numPr>
        <w:ind w:left="0" w:firstLine="567"/>
        <w:jc w:val="both"/>
        <w:rPr>
          <w:sz w:val="24"/>
        </w:rPr>
      </w:pPr>
      <w:r w:rsidRPr="002B119E">
        <w:rPr>
          <w:sz w:val="24"/>
        </w:rPr>
        <w:t xml:space="preserve">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 </w:t>
      </w:r>
      <w:r w:rsidR="002B119E">
        <w:rPr>
          <w:sz w:val="24"/>
        </w:rPr>
        <w:t>282,9</w:t>
      </w:r>
      <w:r w:rsidRPr="002B119E">
        <w:rPr>
          <w:sz w:val="24"/>
        </w:rPr>
        <w:t xml:space="preserve"> тис. грн.;</w:t>
      </w:r>
    </w:p>
    <w:p w:rsidR="00AC0809" w:rsidRPr="00B95C9C" w:rsidRDefault="00AC0809" w:rsidP="001A0427">
      <w:pPr>
        <w:pStyle w:val="a9"/>
        <w:numPr>
          <w:ilvl w:val="0"/>
          <w:numId w:val="1"/>
        </w:numPr>
        <w:ind w:left="0" w:firstLine="567"/>
        <w:jc w:val="both"/>
        <w:rPr>
          <w:sz w:val="24"/>
        </w:rPr>
      </w:pPr>
      <w:r w:rsidRPr="00B95C9C">
        <w:rPr>
          <w:sz w:val="24"/>
        </w:rPr>
        <w:t>інші с</w:t>
      </w:r>
      <w:r w:rsidR="004F59C6" w:rsidRPr="00B95C9C">
        <w:rPr>
          <w:sz w:val="24"/>
        </w:rPr>
        <w:t xml:space="preserve">убвенції з місцевого бюджету – </w:t>
      </w:r>
      <w:r w:rsidR="00B95C9C" w:rsidRPr="00B95C9C">
        <w:rPr>
          <w:sz w:val="24"/>
        </w:rPr>
        <w:t>454,5</w:t>
      </w:r>
      <w:r w:rsidRPr="00B95C9C">
        <w:rPr>
          <w:sz w:val="24"/>
        </w:rPr>
        <w:t xml:space="preserve"> тис. грн.</w:t>
      </w:r>
      <w:r w:rsidR="004F59C6" w:rsidRPr="00B95C9C">
        <w:rPr>
          <w:sz w:val="24"/>
        </w:rPr>
        <w:t>;</w:t>
      </w:r>
    </w:p>
    <w:p w:rsidR="004F59C6" w:rsidRPr="002E358F" w:rsidRDefault="004F59C6" w:rsidP="001A0427">
      <w:pPr>
        <w:pStyle w:val="a9"/>
        <w:numPr>
          <w:ilvl w:val="0"/>
          <w:numId w:val="1"/>
        </w:numPr>
        <w:ind w:left="0" w:firstLine="567"/>
        <w:jc w:val="both"/>
        <w:rPr>
          <w:sz w:val="24"/>
        </w:rPr>
      </w:pPr>
      <w:r w:rsidRPr="002E358F">
        <w:rPr>
          <w:sz w:val="24"/>
        </w:rPr>
        <w:t>субвенція з місцевого бюджету на здійснення підтримки окремих закладів та заходів у системі охорони здоров</w:t>
      </w:r>
      <w:r w:rsidR="008934BD" w:rsidRPr="002E358F">
        <w:rPr>
          <w:rFonts w:ascii="Arial" w:hAnsi="Arial" w:cs="Arial"/>
          <w:sz w:val="24"/>
        </w:rPr>
        <w:t xml:space="preserve">҆ </w:t>
      </w:r>
      <w:r w:rsidRPr="002E358F">
        <w:rPr>
          <w:sz w:val="24"/>
        </w:rPr>
        <w:t xml:space="preserve">я за рахунок відповідної субвенції з державного бюджету – </w:t>
      </w:r>
      <w:r w:rsidR="002E358F" w:rsidRPr="002E358F">
        <w:rPr>
          <w:sz w:val="24"/>
        </w:rPr>
        <w:t>552,5</w:t>
      </w:r>
      <w:r w:rsidRPr="002E358F">
        <w:rPr>
          <w:sz w:val="24"/>
        </w:rPr>
        <w:t xml:space="preserve"> тис. грн.</w:t>
      </w:r>
    </w:p>
    <w:p w:rsidR="00A149FF" w:rsidRPr="007D4905" w:rsidRDefault="006F3487" w:rsidP="001A0427">
      <w:pPr>
        <w:pStyle w:val="a9"/>
        <w:ind w:firstLine="567"/>
        <w:jc w:val="both"/>
        <w:rPr>
          <w:sz w:val="24"/>
        </w:rPr>
      </w:pPr>
      <w:r w:rsidRPr="007D4905">
        <w:rPr>
          <w:sz w:val="24"/>
        </w:rPr>
        <w:t xml:space="preserve">Касові видатки склали </w:t>
      </w:r>
      <w:r w:rsidR="00A441A5" w:rsidRPr="007D4905">
        <w:rPr>
          <w:sz w:val="24"/>
        </w:rPr>
        <w:t xml:space="preserve"> </w:t>
      </w:r>
      <w:r w:rsidR="007D4905" w:rsidRPr="007D4905">
        <w:rPr>
          <w:sz w:val="24"/>
        </w:rPr>
        <w:t>34 072,4</w:t>
      </w:r>
      <w:r w:rsidR="00A140B5" w:rsidRPr="007D4905">
        <w:rPr>
          <w:sz w:val="24"/>
        </w:rPr>
        <w:t xml:space="preserve"> тис. грн., а саме</w:t>
      </w:r>
      <w:r w:rsidRPr="007D4905">
        <w:rPr>
          <w:sz w:val="24"/>
        </w:rPr>
        <w:t>:</w:t>
      </w:r>
    </w:p>
    <w:p w:rsidR="007D4905" w:rsidRPr="00E91359" w:rsidRDefault="007D4905" w:rsidP="007D4905">
      <w:pPr>
        <w:pStyle w:val="a9"/>
        <w:numPr>
          <w:ilvl w:val="0"/>
          <w:numId w:val="1"/>
        </w:numPr>
        <w:ind w:left="0" w:firstLine="567"/>
        <w:jc w:val="both"/>
        <w:rPr>
          <w:sz w:val="24"/>
        </w:rPr>
      </w:pPr>
      <w:r w:rsidRPr="00E91359">
        <w:rPr>
          <w:sz w:val="24"/>
        </w:rPr>
        <w:t>освітня субвенція з державного бюджету місцевим бюджетам – 3</w:t>
      </w:r>
      <w:r>
        <w:rPr>
          <w:sz w:val="24"/>
        </w:rPr>
        <w:t>1 971</w:t>
      </w:r>
      <w:r w:rsidRPr="00E91359">
        <w:rPr>
          <w:sz w:val="24"/>
        </w:rPr>
        <w:t xml:space="preserve"> тис. грн.;</w:t>
      </w:r>
    </w:p>
    <w:p w:rsidR="007D4905" w:rsidRPr="00F041BC" w:rsidRDefault="007D4905" w:rsidP="007D4905">
      <w:pPr>
        <w:pStyle w:val="a9"/>
        <w:numPr>
          <w:ilvl w:val="0"/>
          <w:numId w:val="1"/>
        </w:numPr>
        <w:ind w:left="0" w:firstLine="567"/>
        <w:jc w:val="both"/>
        <w:rPr>
          <w:sz w:val="24"/>
        </w:rPr>
      </w:pPr>
      <w:r w:rsidRPr="00F041BC">
        <w:rPr>
          <w:sz w:val="24"/>
        </w:rPr>
        <w:t>дотація з місцевого бюджету на здійснення переданих видатків з утримання закладів освіти та охорони здоров</w:t>
      </w:r>
      <w:r w:rsidRPr="00F041BC">
        <w:rPr>
          <w:rFonts w:ascii="Calibri" w:hAnsi="Calibri" w:cs="Calibri"/>
          <w:sz w:val="24"/>
        </w:rPr>
        <w:t>'</w:t>
      </w:r>
      <w:r w:rsidRPr="00F041BC">
        <w:rPr>
          <w:sz w:val="24"/>
        </w:rPr>
        <w:t>я за рахунок відповідної додаткової дотації з державного бюджету – 1</w:t>
      </w:r>
      <w:r>
        <w:rPr>
          <w:sz w:val="24"/>
        </w:rPr>
        <w:t> 046,6</w:t>
      </w:r>
      <w:r w:rsidRPr="00F041BC">
        <w:rPr>
          <w:sz w:val="24"/>
        </w:rPr>
        <w:t xml:space="preserve"> тис. грн.;</w:t>
      </w:r>
    </w:p>
    <w:p w:rsidR="007D4905" w:rsidRPr="006469DD" w:rsidRDefault="007D4905" w:rsidP="007D4905">
      <w:pPr>
        <w:pStyle w:val="a9"/>
        <w:numPr>
          <w:ilvl w:val="0"/>
          <w:numId w:val="1"/>
        </w:numPr>
        <w:ind w:left="0" w:firstLine="567"/>
        <w:jc w:val="both"/>
        <w:rPr>
          <w:sz w:val="24"/>
        </w:rPr>
      </w:pPr>
      <w:r w:rsidRPr="006469DD">
        <w:rPr>
          <w:sz w:val="24"/>
        </w:rPr>
        <w:t xml:space="preserve">субвенція з місцевого бюджету на здійснення переданих видатків у сфері освіти за рахунок коштів освітньої субвенції – </w:t>
      </w:r>
      <w:r>
        <w:rPr>
          <w:sz w:val="24"/>
        </w:rPr>
        <w:t>441,6</w:t>
      </w:r>
      <w:r w:rsidRPr="006469DD">
        <w:rPr>
          <w:sz w:val="24"/>
        </w:rPr>
        <w:t xml:space="preserve"> тис. грн.;</w:t>
      </w:r>
    </w:p>
    <w:p w:rsidR="007D4905" w:rsidRPr="002B119E" w:rsidRDefault="007D4905" w:rsidP="007D4905">
      <w:pPr>
        <w:pStyle w:val="a9"/>
        <w:numPr>
          <w:ilvl w:val="0"/>
          <w:numId w:val="1"/>
        </w:numPr>
        <w:ind w:left="0" w:firstLine="567"/>
        <w:jc w:val="both"/>
        <w:rPr>
          <w:sz w:val="24"/>
        </w:rPr>
      </w:pPr>
      <w:r w:rsidRPr="002B119E">
        <w:rPr>
          <w:sz w:val="24"/>
        </w:rPr>
        <w:t xml:space="preserve">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 </w:t>
      </w:r>
      <w:r>
        <w:rPr>
          <w:sz w:val="24"/>
        </w:rPr>
        <w:t>151,9</w:t>
      </w:r>
      <w:r w:rsidRPr="002B119E">
        <w:rPr>
          <w:sz w:val="24"/>
        </w:rPr>
        <w:t xml:space="preserve"> тис. грн.;</w:t>
      </w:r>
    </w:p>
    <w:p w:rsidR="007D4905" w:rsidRDefault="007D4905" w:rsidP="007D4905">
      <w:pPr>
        <w:pStyle w:val="a9"/>
        <w:numPr>
          <w:ilvl w:val="0"/>
          <w:numId w:val="1"/>
        </w:numPr>
        <w:ind w:left="0" w:firstLine="567"/>
        <w:jc w:val="both"/>
        <w:rPr>
          <w:sz w:val="24"/>
        </w:rPr>
      </w:pPr>
      <w:r w:rsidRPr="002E358F">
        <w:rPr>
          <w:sz w:val="24"/>
        </w:rPr>
        <w:t>субвенція з місцевого бюджету на здійснення підтримки окремих закладів та заходів у системі охорони здоров</w:t>
      </w:r>
      <w:r w:rsidRPr="002E358F">
        <w:rPr>
          <w:rFonts w:ascii="Arial" w:hAnsi="Arial" w:cs="Arial"/>
          <w:sz w:val="24"/>
        </w:rPr>
        <w:t xml:space="preserve">҆ </w:t>
      </w:r>
      <w:r w:rsidRPr="002E358F">
        <w:rPr>
          <w:sz w:val="24"/>
        </w:rPr>
        <w:t xml:space="preserve">я за рахунок відповідної субвенції з державного бюджету – </w:t>
      </w:r>
      <w:r>
        <w:rPr>
          <w:sz w:val="24"/>
        </w:rPr>
        <w:t>461,3</w:t>
      </w:r>
      <w:r w:rsidRPr="002E358F">
        <w:rPr>
          <w:sz w:val="24"/>
        </w:rPr>
        <w:t xml:space="preserve"> тис. грн.</w:t>
      </w:r>
    </w:p>
    <w:p w:rsidR="00506078" w:rsidRDefault="00506078" w:rsidP="00506078">
      <w:pPr>
        <w:pStyle w:val="a9"/>
        <w:ind w:left="567"/>
        <w:jc w:val="both"/>
        <w:rPr>
          <w:sz w:val="24"/>
        </w:rPr>
      </w:pPr>
    </w:p>
    <w:p w:rsidR="00506078" w:rsidRPr="002E358F" w:rsidRDefault="00506078" w:rsidP="00506078">
      <w:pPr>
        <w:pStyle w:val="a9"/>
        <w:ind w:left="567"/>
        <w:jc w:val="both"/>
        <w:rPr>
          <w:sz w:val="24"/>
        </w:rPr>
      </w:pPr>
    </w:p>
    <w:p w:rsidR="000238BA" w:rsidRPr="00B56DF9" w:rsidRDefault="000238BA" w:rsidP="000238BA">
      <w:pPr>
        <w:rPr>
          <w:b/>
          <w:sz w:val="28"/>
          <w:szCs w:val="28"/>
          <w:lang w:val="uk-UA"/>
        </w:rPr>
      </w:pPr>
      <w:r w:rsidRPr="00B56DF9">
        <w:rPr>
          <w:b/>
          <w:sz w:val="28"/>
          <w:szCs w:val="28"/>
          <w:lang w:val="uk-UA"/>
        </w:rPr>
        <w:t>Начальник Фінансового управління                                          Тетяна СІМОН</w:t>
      </w:r>
    </w:p>
    <w:p w:rsidR="00B23784" w:rsidRDefault="00B23784" w:rsidP="00B23784">
      <w:pPr>
        <w:rPr>
          <w:lang w:val="uk-UA"/>
        </w:rPr>
      </w:pPr>
    </w:p>
    <w:p w:rsidR="0020045D" w:rsidRDefault="0020045D" w:rsidP="007C0D6E">
      <w:pPr>
        <w:tabs>
          <w:tab w:val="left" w:pos="1530"/>
        </w:tabs>
        <w:jc w:val="center"/>
        <w:rPr>
          <w:b/>
          <w:sz w:val="26"/>
          <w:szCs w:val="26"/>
          <w:lang w:val="uk-UA"/>
        </w:rPr>
      </w:pPr>
    </w:p>
    <w:sectPr w:rsidR="0020045D" w:rsidSect="00997B38">
      <w:pgSz w:w="11906" w:h="16838"/>
      <w:pgMar w:top="850" w:right="850" w:bottom="70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E10" w:rsidRDefault="009D0E10" w:rsidP="000B5FDB">
      <w:r>
        <w:separator/>
      </w:r>
    </w:p>
  </w:endnote>
  <w:endnote w:type="continuationSeparator" w:id="0">
    <w:p w:rsidR="009D0E10" w:rsidRDefault="009D0E10"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E10" w:rsidRDefault="009D0E10" w:rsidP="000B5FDB">
      <w:r>
        <w:separator/>
      </w:r>
    </w:p>
  </w:footnote>
  <w:footnote w:type="continuationSeparator" w:id="0">
    <w:p w:rsidR="009D0E10" w:rsidRDefault="009D0E10" w:rsidP="000B5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B6414"/>
    <w:multiLevelType w:val="hybridMultilevel"/>
    <w:tmpl w:val="6060B8DC"/>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15:restartNumberingAfterBreak="0">
    <w:nsid w:val="0F974C2E"/>
    <w:multiLevelType w:val="hybridMultilevel"/>
    <w:tmpl w:val="76C00678"/>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14037235"/>
    <w:multiLevelType w:val="hybridMultilevel"/>
    <w:tmpl w:val="79F41AB0"/>
    <w:lvl w:ilvl="0" w:tplc="0422000D">
      <w:start w:val="1"/>
      <w:numFmt w:val="bullet"/>
      <w:lvlText w:val=""/>
      <w:lvlJc w:val="left"/>
      <w:pPr>
        <w:ind w:left="1485" w:hanging="360"/>
      </w:pPr>
      <w:rPr>
        <w:rFonts w:ascii="Wingdings" w:hAnsi="Wingdings" w:hint="default"/>
      </w:rPr>
    </w:lvl>
    <w:lvl w:ilvl="1" w:tplc="04220003" w:tentative="1">
      <w:start w:val="1"/>
      <w:numFmt w:val="bullet"/>
      <w:lvlText w:val="o"/>
      <w:lvlJc w:val="left"/>
      <w:pPr>
        <w:ind w:left="2205" w:hanging="360"/>
      </w:pPr>
      <w:rPr>
        <w:rFonts w:ascii="Courier New" w:hAnsi="Courier New" w:cs="Courier New" w:hint="default"/>
      </w:rPr>
    </w:lvl>
    <w:lvl w:ilvl="2" w:tplc="04220005" w:tentative="1">
      <w:start w:val="1"/>
      <w:numFmt w:val="bullet"/>
      <w:lvlText w:val=""/>
      <w:lvlJc w:val="left"/>
      <w:pPr>
        <w:ind w:left="2925" w:hanging="360"/>
      </w:pPr>
      <w:rPr>
        <w:rFonts w:ascii="Wingdings" w:hAnsi="Wingdings" w:hint="default"/>
      </w:rPr>
    </w:lvl>
    <w:lvl w:ilvl="3" w:tplc="04220001" w:tentative="1">
      <w:start w:val="1"/>
      <w:numFmt w:val="bullet"/>
      <w:lvlText w:val=""/>
      <w:lvlJc w:val="left"/>
      <w:pPr>
        <w:ind w:left="3645" w:hanging="360"/>
      </w:pPr>
      <w:rPr>
        <w:rFonts w:ascii="Symbol" w:hAnsi="Symbol" w:hint="default"/>
      </w:rPr>
    </w:lvl>
    <w:lvl w:ilvl="4" w:tplc="04220003" w:tentative="1">
      <w:start w:val="1"/>
      <w:numFmt w:val="bullet"/>
      <w:lvlText w:val="o"/>
      <w:lvlJc w:val="left"/>
      <w:pPr>
        <w:ind w:left="4365" w:hanging="360"/>
      </w:pPr>
      <w:rPr>
        <w:rFonts w:ascii="Courier New" w:hAnsi="Courier New" w:cs="Courier New" w:hint="default"/>
      </w:rPr>
    </w:lvl>
    <w:lvl w:ilvl="5" w:tplc="04220005" w:tentative="1">
      <w:start w:val="1"/>
      <w:numFmt w:val="bullet"/>
      <w:lvlText w:val=""/>
      <w:lvlJc w:val="left"/>
      <w:pPr>
        <w:ind w:left="5085" w:hanging="360"/>
      </w:pPr>
      <w:rPr>
        <w:rFonts w:ascii="Wingdings" w:hAnsi="Wingdings" w:hint="default"/>
      </w:rPr>
    </w:lvl>
    <w:lvl w:ilvl="6" w:tplc="04220001" w:tentative="1">
      <w:start w:val="1"/>
      <w:numFmt w:val="bullet"/>
      <w:lvlText w:val=""/>
      <w:lvlJc w:val="left"/>
      <w:pPr>
        <w:ind w:left="5805" w:hanging="360"/>
      </w:pPr>
      <w:rPr>
        <w:rFonts w:ascii="Symbol" w:hAnsi="Symbol" w:hint="default"/>
      </w:rPr>
    </w:lvl>
    <w:lvl w:ilvl="7" w:tplc="04220003" w:tentative="1">
      <w:start w:val="1"/>
      <w:numFmt w:val="bullet"/>
      <w:lvlText w:val="o"/>
      <w:lvlJc w:val="left"/>
      <w:pPr>
        <w:ind w:left="6525" w:hanging="360"/>
      </w:pPr>
      <w:rPr>
        <w:rFonts w:ascii="Courier New" w:hAnsi="Courier New" w:cs="Courier New" w:hint="default"/>
      </w:rPr>
    </w:lvl>
    <w:lvl w:ilvl="8" w:tplc="04220005" w:tentative="1">
      <w:start w:val="1"/>
      <w:numFmt w:val="bullet"/>
      <w:lvlText w:val=""/>
      <w:lvlJc w:val="left"/>
      <w:pPr>
        <w:ind w:left="7245" w:hanging="360"/>
      </w:pPr>
      <w:rPr>
        <w:rFonts w:ascii="Wingdings" w:hAnsi="Wingdings" w:hint="default"/>
      </w:rPr>
    </w:lvl>
  </w:abstractNum>
  <w:abstractNum w:abstractNumId="3" w15:restartNumberingAfterBreak="0">
    <w:nsid w:val="148F60CB"/>
    <w:multiLevelType w:val="hybridMultilevel"/>
    <w:tmpl w:val="1988DF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FFE06A9"/>
    <w:multiLevelType w:val="hybridMultilevel"/>
    <w:tmpl w:val="833AD726"/>
    <w:lvl w:ilvl="0" w:tplc="CB46BA46">
      <w:start w:val="1000"/>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5"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6" w15:restartNumberingAfterBreak="0">
    <w:nsid w:val="289E7CF3"/>
    <w:multiLevelType w:val="hybridMultilevel"/>
    <w:tmpl w:val="7456890A"/>
    <w:lvl w:ilvl="0" w:tplc="0422000D">
      <w:start w:val="1"/>
      <w:numFmt w:val="bullet"/>
      <w:lvlText w:val=""/>
      <w:lvlJc w:val="left"/>
      <w:pPr>
        <w:ind w:left="1485" w:hanging="360"/>
      </w:pPr>
      <w:rPr>
        <w:rFonts w:ascii="Wingdings" w:hAnsi="Wingdings" w:hint="default"/>
      </w:rPr>
    </w:lvl>
    <w:lvl w:ilvl="1" w:tplc="04220003" w:tentative="1">
      <w:start w:val="1"/>
      <w:numFmt w:val="bullet"/>
      <w:lvlText w:val="o"/>
      <w:lvlJc w:val="left"/>
      <w:pPr>
        <w:ind w:left="2205" w:hanging="360"/>
      </w:pPr>
      <w:rPr>
        <w:rFonts w:ascii="Courier New" w:hAnsi="Courier New" w:cs="Courier New" w:hint="default"/>
      </w:rPr>
    </w:lvl>
    <w:lvl w:ilvl="2" w:tplc="04220005" w:tentative="1">
      <w:start w:val="1"/>
      <w:numFmt w:val="bullet"/>
      <w:lvlText w:val=""/>
      <w:lvlJc w:val="left"/>
      <w:pPr>
        <w:ind w:left="2925" w:hanging="360"/>
      </w:pPr>
      <w:rPr>
        <w:rFonts w:ascii="Wingdings" w:hAnsi="Wingdings" w:hint="default"/>
      </w:rPr>
    </w:lvl>
    <w:lvl w:ilvl="3" w:tplc="04220001" w:tentative="1">
      <w:start w:val="1"/>
      <w:numFmt w:val="bullet"/>
      <w:lvlText w:val=""/>
      <w:lvlJc w:val="left"/>
      <w:pPr>
        <w:ind w:left="3645" w:hanging="360"/>
      </w:pPr>
      <w:rPr>
        <w:rFonts w:ascii="Symbol" w:hAnsi="Symbol" w:hint="default"/>
      </w:rPr>
    </w:lvl>
    <w:lvl w:ilvl="4" w:tplc="04220003" w:tentative="1">
      <w:start w:val="1"/>
      <w:numFmt w:val="bullet"/>
      <w:lvlText w:val="o"/>
      <w:lvlJc w:val="left"/>
      <w:pPr>
        <w:ind w:left="4365" w:hanging="360"/>
      </w:pPr>
      <w:rPr>
        <w:rFonts w:ascii="Courier New" w:hAnsi="Courier New" w:cs="Courier New" w:hint="default"/>
      </w:rPr>
    </w:lvl>
    <w:lvl w:ilvl="5" w:tplc="04220005" w:tentative="1">
      <w:start w:val="1"/>
      <w:numFmt w:val="bullet"/>
      <w:lvlText w:val=""/>
      <w:lvlJc w:val="left"/>
      <w:pPr>
        <w:ind w:left="5085" w:hanging="360"/>
      </w:pPr>
      <w:rPr>
        <w:rFonts w:ascii="Wingdings" w:hAnsi="Wingdings" w:hint="default"/>
      </w:rPr>
    </w:lvl>
    <w:lvl w:ilvl="6" w:tplc="04220001" w:tentative="1">
      <w:start w:val="1"/>
      <w:numFmt w:val="bullet"/>
      <w:lvlText w:val=""/>
      <w:lvlJc w:val="left"/>
      <w:pPr>
        <w:ind w:left="5805" w:hanging="360"/>
      </w:pPr>
      <w:rPr>
        <w:rFonts w:ascii="Symbol" w:hAnsi="Symbol" w:hint="default"/>
      </w:rPr>
    </w:lvl>
    <w:lvl w:ilvl="7" w:tplc="04220003" w:tentative="1">
      <w:start w:val="1"/>
      <w:numFmt w:val="bullet"/>
      <w:lvlText w:val="o"/>
      <w:lvlJc w:val="left"/>
      <w:pPr>
        <w:ind w:left="6525" w:hanging="360"/>
      </w:pPr>
      <w:rPr>
        <w:rFonts w:ascii="Courier New" w:hAnsi="Courier New" w:cs="Courier New" w:hint="default"/>
      </w:rPr>
    </w:lvl>
    <w:lvl w:ilvl="8" w:tplc="04220005" w:tentative="1">
      <w:start w:val="1"/>
      <w:numFmt w:val="bullet"/>
      <w:lvlText w:val=""/>
      <w:lvlJc w:val="left"/>
      <w:pPr>
        <w:ind w:left="7245" w:hanging="360"/>
      </w:pPr>
      <w:rPr>
        <w:rFonts w:ascii="Wingdings" w:hAnsi="Wingdings" w:hint="default"/>
      </w:rPr>
    </w:lvl>
  </w:abstractNum>
  <w:abstractNum w:abstractNumId="7" w15:restartNumberingAfterBreak="0">
    <w:nsid w:val="2A8905C0"/>
    <w:multiLevelType w:val="hybridMultilevel"/>
    <w:tmpl w:val="D92E5B8C"/>
    <w:lvl w:ilvl="0" w:tplc="71BE29A4">
      <w:start w:val="68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D561F1"/>
    <w:multiLevelType w:val="hybridMultilevel"/>
    <w:tmpl w:val="2DF0A3E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15:restartNumberingAfterBreak="0">
    <w:nsid w:val="2AEE35E5"/>
    <w:multiLevelType w:val="hybridMultilevel"/>
    <w:tmpl w:val="BC14CA2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1" w15:restartNumberingAfterBreak="0">
    <w:nsid w:val="39A82E8E"/>
    <w:multiLevelType w:val="hybridMultilevel"/>
    <w:tmpl w:val="81FAC058"/>
    <w:lvl w:ilvl="0" w:tplc="5622BE92">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2" w15:restartNumberingAfterBreak="0">
    <w:nsid w:val="3A700D87"/>
    <w:multiLevelType w:val="hybridMultilevel"/>
    <w:tmpl w:val="F214B048"/>
    <w:lvl w:ilvl="0" w:tplc="1B142DA8">
      <w:start w:val="24"/>
      <w:numFmt w:val="bullet"/>
      <w:lvlText w:val="-"/>
      <w:lvlJc w:val="left"/>
      <w:pPr>
        <w:tabs>
          <w:tab w:val="num" w:pos="927"/>
        </w:tabs>
        <w:ind w:left="927" w:hanging="360"/>
      </w:pPr>
      <w:rPr>
        <w:rFonts w:ascii="Times New Roman" w:eastAsia="Times New Roman" w:hAnsi="Times New Roman" w:cs="Times New Roman"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3C426B0A"/>
    <w:multiLevelType w:val="hybridMultilevel"/>
    <w:tmpl w:val="4F2475D2"/>
    <w:lvl w:ilvl="0" w:tplc="0422000D">
      <w:start w:val="1"/>
      <w:numFmt w:val="bullet"/>
      <w:lvlText w:val=""/>
      <w:lvlJc w:val="left"/>
      <w:pPr>
        <w:ind w:left="1400" w:hanging="360"/>
      </w:pPr>
      <w:rPr>
        <w:rFonts w:ascii="Wingdings" w:hAnsi="Wingdings" w:hint="default"/>
      </w:rPr>
    </w:lvl>
    <w:lvl w:ilvl="1" w:tplc="04220003" w:tentative="1">
      <w:start w:val="1"/>
      <w:numFmt w:val="bullet"/>
      <w:lvlText w:val="o"/>
      <w:lvlJc w:val="left"/>
      <w:pPr>
        <w:ind w:left="2120" w:hanging="360"/>
      </w:pPr>
      <w:rPr>
        <w:rFonts w:ascii="Courier New" w:hAnsi="Courier New" w:cs="Courier New" w:hint="default"/>
      </w:rPr>
    </w:lvl>
    <w:lvl w:ilvl="2" w:tplc="04220005" w:tentative="1">
      <w:start w:val="1"/>
      <w:numFmt w:val="bullet"/>
      <w:lvlText w:val=""/>
      <w:lvlJc w:val="left"/>
      <w:pPr>
        <w:ind w:left="2840" w:hanging="360"/>
      </w:pPr>
      <w:rPr>
        <w:rFonts w:ascii="Wingdings" w:hAnsi="Wingdings" w:hint="default"/>
      </w:rPr>
    </w:lvl>
    <w:lvl w:ilvl="3" w:tplc="04220001" w:tentative="1">
      <w:start w:val="1"/>
      <w:numFmt w:val="bullet"/>
      <w:lvlText w:val=""/>
      <w:lvlJc w:val="left"/>
      <w:pPr>
        <w:ind w:left="3560" w:hanging="360"/>
      </w:pPr>
      <w:rPr>
        <w:rFonts w:ascii="Symbol" w:hAnsi="Symbol" w:hint="default"/>
      </w:rPr>
    </w:lvl>
    <w:lvl w:ilvl="4" w:tplc="04220003" w:tentative="1">
      <w:start w:val="1"/>
      <w:numFmt w:val="bullet"/>
      <w:lvlText w:val="o"/>
      <w:lvlJc w:val="left"/>
      <w:pPr>
        <w:ind w:left="4280" w:hanging="360"/>
      </w:pPr>
      <w:rPr>
        <w:rFonts w:ascii="Courier New" w:hAnsi="Courier New" w:cs="Courier New" w:hint="default"/>
      </w:rPr>
    </w:lvl>
    <w:lvl w:ilvl="5" w:tplc="04220005" w:tentative="1">
      <w:start w:val="1"/>
      <w:numFmt w:val="bullet"/>
      <w:lvlText w:val=""/>
      <w:lvlJc w:val="left"/>
      <w:pPr>
        <w:ind w:left="5000" w:hanging="360"/>
      </w:pPr>
      <w:rPr>
        <w:rFonts w:ascii="Wingdings" w:hAnsi="Wingdings" w:hint="default"/>
      </w:rPr>
    </w:lvl>
    <w:lvl w:ilvl="6" w:tplc="04220001" w:tentative="1">
      <w:start w:val="1"/>
      <w:numFmt w:val="bullet"/>
      <w:lvlText w:val=""/>
      <w:lvlJc w:val="left"/>
      <w:pPr>
        <w:ind w:left="5720" w:hanging="360"/>
      </w:pPr>
      <w:rPr>
        <w:rFonts w:ascii="Symbol" w:hAnsi="Symbol" w:hint="default"/>
      </w:rPr>
    </w:lvl>
    <w:lvl w:ilvl="7" w:tplc="04220003" w:tentative="1">
      <w:start w:val="1"/>
      <w:numFmt w:val="bullet"/>
      <w:lvlText w:val="o"/>
      <w:lvlJc w:val="left"/>
      <w:pPr>
        <w:ind w:left="6440" w:hanging="360"/>
      </w:pPr>
      <w:rPr>
        <w:rFonts w:ascii="Courier New" w:hAnsi="Courier New" w:cs="Courier New" w:hint="default"/>
      </w:rPr>
    </w:lvl>
    <w:lvl w:ilvl="8" w:tplc="04220005" w:tentative="1">
      <w:start w:val="1"/>
      <w:numFmt w:val="bullet"/>
      <w:lvlText w:val=""/>
      <w:lvlJc w:val="left"/>
      <w:pPr>
        <w:ind w:left="7160" w:hanging="360"/>
      </w:pPr>
      <w:rPr>
        <w:rFonts w:ascii="Wingdings" w:hAnsi="Wingdings" w:hint="default"/>
      </w:rPr>
    </w:lvl>
  </w:abstractNum>
  <w:abstractNum w:abstractNumId="14"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36657B8"/>
    <w:multiLevelType w:val="hybridMultilevel"/>
    <w:tmpl w:val="D3BC8CDC"/>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8"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9"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56996DD5"/>
    <w:multiLevelType w:val="hybridMultilevel"/>
    <w:tmpl w:val="59B614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59781B22"/>
    <w:multiLevelType w:val="hybridMultilevel"/>
    <w:tmpl w:val="1584B6F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3"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24" w15:restartNumberingAfterBreak="0">
    <w:nsid w:val="5F56298C"/>
    <w:multiLevelType w:val="hybridMultilevel"/>
    <w:tmpl w:val="D87CADB6"/>
    <w:lvl w:ilvl="0" w:tplc="99CA8320">
      <w:start w:val="1"/>
      <w:numFmt w:val="bullet"/>
      <w:lvlText w:val=""/>
      <w:lvlJc w:val="left"/>
      <w:pPr>
        <w:ind w:left="360" w:hanging="360"/>
      </w:pPr>
      <w:rPr>
        <w:rFonts w:ascii="Symbol" w:hAnsi="Symbol" w:hint="default"/>
        <w:lang w:val="uk-UA"/>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25"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26" w15:restartNumberingAfterBreak="0">
    <w:nsid w:val="64BE12FF"/>
    <w:multiLevelType w:val="hybridMultilevel"/>
    <w:tmpl w:val="FDF2E2A4"/>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7" w15:restartNumberingAfterBreak="0">
    <w:nsid w:val="69470CC8"/>
    <w:multiLevelType w:val="hybridMultilevel"/>
    <w:tmpl w:val="8F30BFF2"/>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8"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num w:numId="1">
    <w:abstractNumId w:val="4"/>
  </w:num>
  <w:num w:numId="2">
    <w:abstractNumId w:val="12"/>
  </w:num>
  <w:num w:numId="3">
    <w:abstractNumId w:val="24"/>
  </w:num>
  <w:num w:numId="4">
    <w:abstractNumId w:val="23"/>
  </w:num>
  <w:num w:numId="5">
    <w:abstractNumId w:val="22"/>
  </w:num>
  <w:num w:numId="6">
    <w:abstractNumId w:val="8"/>
  </w:num>
  <w:num w:numId="7">
    <w:abstractNumId w:val="21"/>
  </w:num>
  <w:num w:numId="8">
    <w:abstractNumId w:val="13"/>
  </w:num>
  <w:num w:numId="9">
    <w:abstractNumId w:val="27"/>
  </w:num>
  <w:num w:numId="10">
    <w:abstractNumId w:val="2"/>
  </w:num>
  <w:num w:numId="11">
    <w:abstractNumId w:val="6"/>
  </w:num>
  <w:num w:numId="12">
    <w:abstractNumId w:val="1"/>
  </w:num>
  <w:num w:numId="13">
    <w:abstractNumId w:val="9"/>
  </w:num>
  <w:num w:numId="14">
    <w:abstractNumId w:val="0"/>
  </w:num>
  <w:num w:numId="15">
    <w:abstractNumId w:val="4"/>
  </w:num>
  <w:num w:numId="16">
    <w:abstractNumId w:val="25"/>
  </w:num>
  <w:num w:numId="17">
    <w:abstractNumId w:val="10"/>
  </w:num>
  <w:num w:numId="18">
    <w:abstractNumId w:val="28"/>
  </w:num>
  <w:num w:numId="19">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3"/>
  </w:num>
  <w:num w:numId="22">
    <w:abstractNumId w:val="11"/>
  </w:num>
  <w:num w:numId="23">
    <w:abstractNumId w:val="11"/>
  </w:num>
  <w:num w:numId="24">
    <w:abstractNumId w:val="19"/>
  </w:num>
  <w:num w:numId="25">
    <w:abstractNumId w:val="15"/>
  </w:num>
  <w:num w:numId="26">
    <w:abstractNumId w:val="26"/>
  </w:num>
  <w:num w:numId="27">
    <w:abstractNumId w:val="25"/>
  </w:num>
  <w:num w:numId="28">
    <w:abstractNumId w:val="7"/>
  </w:num>
  <w:num w:numId="29">
    <w:abstractNumId w:val="12"/>
  </w:num>
  <w:num w:numId="30">
    <w:abstractNumId w:val="24"/>
  </w:num>
  <w:num w:numId="31">
    <w:abstractNumId w:val="4"/>
  </w:num>
  <w:num w:numId="32">
    <w:abstractNumId w:val="25"/>
  </w:num>
  <w:num w:numId="33">
    <w:abstractNumId w:val="12"/>
  </w:num>
  <w:num w:numId="34">
    <w:abstractNumId w:val="24"/>
  </w:num>
  <w:num w:numId="35">
    <w:abstractNumId w:val="4"/>
  </w:num>
  <w:num w:numId="36">
    <w:abstractNumId w:val="25"/>
  </w:num>
  <w:num w:numId="37">
    <w:abstractNumId w:val="5"/>
  </w:num>
  <w:num w:numId="38">
    <w:abstractNumId w:val="18"/>
  </w:num>
  <w:num w:numId="39">
    <w:abstractNumId w:val="14"/>
  </w:num>
  <w:num w:numId="40">
    <w:abstractNumId w:val="17"/>
  </w:num>
  <w:num w:numId="41">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D88"/>
    <w:rsid w:val="00000222"/>
    <w:rsid w:val="00000DA6"/>
    <w:rsid w:val="00000EF3"/>
    <w:rsid w:val="000011CF"/>
    <w:rsid w:val="000013DB"/>
    <w:rsid w:val="000017EF"/>
    <w:rsid w:val="0000183B"/>
    <w:rsid w:val="00001A0D"/>
    <w:rsid w:val="00001C19"/>
    <w:rsid w:val="00001E60"/>
    <w:rsid w:val="00002303"/>
    <w:rsid w:val="00002800"/>
    <w:rsid w:val="000036D7"/>
    <w:rsid w:val="000038D3"/>
    <w:rsid w:val="000040C1"/>
    <w:rsid w:val="000040CE"/>
    <w:rsid w:val="00004506"/>
    <w:rsid w:val="00004742"/>
    <w:rsid w:val="00004FD4"/>
    <w:rsid w:val="000054C1"/>
    <w:rsid w:val="0000561D"/>
    <w:rsid w:val="00005D09"/>
    <w:rsid w:val="00005F0F"/>
    <w:rsid w:val="000064F2"/>
    <w:rsid w:val="0000723C"/>
    <w:rsid w:val="000076FD"/>
    <w:rsid w:val="00007FB7"/>
    <w:rsid w:val="00010291"/>
    <w:rsid w:val="0001046C"/>
    <w:rsid w:val="00010AC4"/>
    <w:rsid w:val="000110BD"/>
    <w:rsid w:val="0001263A"/>
    <w:rsid w:val="0001324A"/>
    <w:rsid w:val="000135C8"/>
    <w:rsid w:val="000140D5"/>
    <w:rsid w:val="00014688"/>
    <w:rsid w:val="00014DCC"/>
    <w:rsid w:val="00014E34"/>
    <w:rsid w:val="00015013"/>
    <w:rsid w:val="00015472"/>
    <w:rsid w:val="000159EF"/>
    <w:rsid w:val="000167F2"/>
    <w:rsid w:val="0001747B"/>
    <w:rsid w:val="000175AD"/>
    <w:rsid w:val="00017929"/>
    <w:rsid w:val="00017D7B"/>
    <w:rsid w:val="00017F27"/>
    <w:rsid w:val="00020118"/>
    <w:rsid w:val="000202E8"/>
    <w:rsid w:val="0002110A"/>
    <w:rsid w:val="0002188E"/>
    <w:rsid w:val="000218A5"/>
    <w:rsid w:val="00021A42"/>
    <w:rsid w:val="00021B6B"/>
    <w:rsid w:val="00021BBC"/>
    <w:rsid w:val="0002255C"/>
    <w:rsid w:val="00022A67"/>
    <w:rsid w:val="00022E9A"/>
    <w:rsid w:val="00023601"/>
    <w:rsid w:val="000238BA"/>
    <w:rsid w:val="00023E81"/>
    <w:rsid w:val="00024191"/>
    <w:rsid w:val="0002477C"/>
    <w:rsid w:val="00024BA8"/>
    <w:rsid w:val="00024CD4"/>
    <w:rsid w:val="00024D0B"/>
    <w:rsid w:val="00025029"/>
    <w:rsid w:val="0002508B"/>
    <w:rsid w:val="000250B6"/>
    <w:rsid w:val="000258D2"/>
    <w:rsid w:val="00025974"/>
    <w:rsid w:val="00026281"/>
    <w:rsid w:val="00026460"/>
    <w:rsid w:val="00026616"/>
    <w:rsid w:val="00026723"/>
    <w:rsid w:val="00026AD4"/>
    <w:rsid w:val="00026F90"/>
    <w:rsid w:val="00027309"/>
    <w:rsid w:val="000274DA"/>
    <w:rsid w:val="00027686"/>
    <w:rsid w:val="0002778B"/>
    <w:rsid w:val="00027E11"/>
    <w:rsid w:val="00030082"/>
    <w:rsid w:val="0003072A"/>
    <w:rsid w:val="00030FB3"/>
    <w:rsid w:val="000312F1"/>
    <w:rsid w:val="00031313"/>
    <w:rsid w:val="000313D4"/>
    <w:rsid w:val="00031406"/>
    <w:rsid w:val="0003146E"/>
    <w:rsid w:val="00031E31"/>
    <w:rsid w:val="00032E9E"/>
    <w:rsid w:val="00032EE4"/>
    <w:rsid w:val="000331E4"/>
    <w:rsid w:val="00033939"/>
    <w:rsid w:val="00033F1B"/>
    <w:rsid w:val="00034495"/>
    <w:rsid w:val="00034FA9"/>
    <w:rsid w:val="00035A83"/>
    <w:rsid w:val="00035EAC"/>
    <w:rsid w:val="00036624"/>
    <w:rsid w:val="00036CAA"/>
    <w:rsid w:val="00037783"/>
    <w:rsid w:val="0003790D"/>
    <w:rsid w:val="0004042A"/>
    <w:rsid w:val="00040E55"/>
    <w:rsid w:val="00040F10"/>
    <w:rsid w:val="000414A8"/>
    <w:rsid w:val="000416EB"/>
    <w:rsid w:val="000421D7"/>
    <w:rsid w:val="00042253"/>
    <w:rsid w:val="00042475"/>
    <w:rsid w:val="000424DE"/>
    <w:rsid w:val="000426DF"/>
    <w:rsid w:val="0004275E"/>
    <w:rsid w:val="0004338C"/>
    <w:rsid w:val="00043564"/>
    <w:rsid w:val="00043618"/>
    <w:rsid w:val="000436CF"/>
    <w:rsid w:val="00043DF7"/>
    <w:rsid w:val="00043E9D"/>
    <w:rsid w:val="00043FFE"/>
    <w:rsid w:val="00044272"/>
    <w:rsid w:val="00044AE6"/>
    <w:rsid w:val="00044C43"/>
    <w:rsid w:val="00045774"/>
    <w:rsid w:val="0004582F"/>
    <w:rsid w:val="00046292"/>
    <w:rsid w:val="000468F9"/>
    <w:rsid w:val="00046A39"/>
    <w:rsid w:val="00046F86"/>
    <w:rsid w:val="0004716A"/>
    <w:rsid w:val="0004725B"/>
    <w:rsid w:val="000473D7"/>
    <w:rsid w:val="00047594"/>
    <w:rsid w:val="000501E1"/>
    <w:rsid w:val="0005098A"/>
    <w:rsid w:val="000509D4"/>
    <w:rsid w:val="00050C46"/>
    <w:rsid w:val="00050E3F"/>
    <w:rsid w:val="00051315"/>
    <w:rsid w:val="0005147A"/>
    <w:rsid w:val="000515FF"/>
    <w:rsid w:val="0005245D"/>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5FD"/>
    <w:rsid w:val="0005697A"/>
    <w:rsid w:val="00056C06"/>
    <w:rsid w:val="00056DB9"/>
    <w:rsid w:val="00056F4B"/>
    <w:rsid w:val="00057661"/>
    <w:rsid w:val="00057CC1"/>
    <w:rsid w:val="000603AD"/>
    <w:rsid w:val="00060632"/>
    <w:rsid w:val="00060BEA"/>
    <w:rsid w:val="00060F81"/>
    <w:rsid w:val="000610E6"/>
    <w:rsid w:val="00061574"/>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423A"/>
    <w:rsid w:val="00064947"/>
    <w:rsid w:val="0006601B"/>
    <w:rsid w:val="00066702"/>
    <w:rsid w:val="00066ACF"/>
    <w:rsid w:val="000671F7"/>
    <w:rsid w:val="000672F7"/>
    <w:rsid w:val="00067857"/>
    <w:rsid w:val="000678DC"/>
    <w:rsid w:val="00067A1F"/>
    <w:rsid w:val="00067B4D"/>
    <w:rsid w:val="00067C08"/>
    <w:rsid w:val="0007030F"/>
    <w:rsid w:val="00070858"/>
    <w:rsid w:val="00070C3F"/>
    <w:rsid w:val="00071867"/>
    <w:rsid w:val="00071A37"/>
    <w:rsid w:val="00072C93"/>
    <w:rsid w:val="00072D05"/>
    <w:rsid w:val="00072D4E"/>
    <w:rsid w:val="00072D58"/>
    <w:rsid w:val="00073E55"/>
    <w:rsid w:val="0007452C"/>
    <w:rsid w:val="0007475A"/>
    <w:rsid w:val="00074DAB"/>
    <w:rsid w:val="00075662"/>
    <w:rsid w:val="00075B8D"/>
    <w:rsid w:val="00075BB9"/>
    <w:rsid w:val="00075C27"/>
    <w:rsid w:val="0007642D"/>
    <w:rsid w:val="00076B33"/>
    <w:rsid w:val="000772DC"/>
    <w:rsid w:val="00077702"/>
    <w:rsid w:val="0007778E"/>
    <w:rsid w:val="0007795C"/>
    <w:rsid w:val="00077A4B"/>
    <w:rsid w:val="00077B93"/>
    <w:rsid w:val="00080055"/>
    <w:rsid w:val="000800B3"/>
    <w:rsid w:val="000800DC"/>
    <w:rsid w:val="000807EF"/>
    <w:rsid w:val="000810E3"/>
    <w:rsid w:val="00081188"/>
    <w:rsid w:val="00081A7D"/>
    <w:rsid w:val="00081AD5"/>
    <w:rsid w:val="00081E8F"/>
    <w:rsid w:val="00082A0B"/>
    <w:rsid w:val="00082D76"/>
    <w:rsid w:val="00082FBF"/>
    <w:rsid w:val="000830DA"/>
    <w:rsid w:val="00083657"/>
    <w:rsid w:val="00083EE6"/>
    <w:rsid w:val="00084196"/>
    <w:rsid w:val="000842C6"/>
    <w:rsid w:val="000844D2"/>
    <w:rsid w:val="0008465F"/>
    <w:rsid w:val="00084BA8"/>
    <w:rsid w:val="0008575D"/>
    <w:rsid w:val="00085DEA"/>
    <w:rsid w:val="00086151"/>
    <w:rsid w:val="000861F4"/>
    <w:rsid w:val="000862EB"/>
    <w:rsid w:val="00086650"/>
    <w:rsid w:val="00086A8F"/>
    <w:rsid w:val="00086D7D"/>
    <w:rsid w:val="00087736"/>
    <w:rsid w:val="00087F74"/>
    <w:rsid w:val="00090FC0"/>
    <w:rsid w:val="000910B2"/>
    <w:rsid w:val="0009145B"/>
    <w:rsid w:val="0009149D"/>
    <w:rsid w:val="000917DC"/>
    <w:rsid w:val="00091870"/>
    <w:rsid w:val="00091A08"/>
    <w:rsid w:val="00091F23"/>
    <w:rsid w:val="0009358E"/>
    <w:rsid w:val="00093DFE"/>
    <w:rsid w:val="00094427"/>
    <w:rsid w:val="00094554"/>
    <w:rsid w:val="0009471B"/>
    <w:rsid w:val="00094722"/>
    <w:rsid w:val="0009492C"/>
    <w:rsid w:val="00095065"/>
    <w:rsid w:val="00095DE0"/>
    <w:rsid w:val="00096BDC"/>
    <w:rsid w:val="00096F53"/>
    <w:rsid w:val="0009707D"/>
    <w:rsid w:val="000973D1"/>
    <w:rsid w:val="00097A72"/>
    <w:rsid w:val="00097A73"/>
    <w:rsid w:val="000A0E41"/>
    <w:rsid w:val="000A13C1"/>
    <w:rsid w:val="000A1A17"/>
    <w:rsid w:val="000A1F07"/>
    <w:rsid w:val="000A2142"/>
    <w:rsid w:val="000A26CF"/>
    <w:rsid w:val="000A27AA"/>
    <w:rsid w:val="000A27AF"/>
    <w:rsid w:val="000A27D7"/>
    <w:rsid w:val="000A2BC2"/>
    <w:rsid w:val="000A2F8A"/>
    <w:rsid w:val="000A2FDF"/>
    <w:rsid w:val="000A3862"/>
    <w:rsid w:val="000A3D01"/>
    <w:rsid w:val="000A3E04"/>
    <w:rsid w:val="000A429E"/>
    <w:rsid w:val="000A462B"/>
    <w:rsid w:val="000A4837"/>
    <w:rsid w:val="000A483D"/>
    <w:rsid w:val="000A48C9"/>
    <w:rsid w:val="000A605E"/>
    <w:rsid w:val="000A6639"/>
    <w:rsid w:val="000A67D0"/>
    <w:rsid w:val="000A6962"/>
    <w:rsid w:val="000A6DF7"/>
    <w:rsid w:val="000A6FEA"/>
    <w:rsid w:val="000A7B3C"/>
    <w:rsid w:val="000A7D82"/>
    <w:rsid w:val="000B0243"/>
    <w:rsid w:val="000B130B"/>
    <w:rsid w:val="000B1431"/>
    <w:rsid w:val="000B215E"/>
    <w:rsid w:val="000B22BE"/>
    <w:rsid w:val="000B270B"/>
    <w:rsid w:val="000B2845"/>
    <w:rsid w:val="000B2D5A"/>
    <w:rsid w:val="000B358B"/>
    <w:rsid w:val="000B3A73"/>
    <w:rsid w:val="000B4050"/>
    <w:rsid w:val="000B44FD"/>
    <w:rsid w:val="000B468A"/>
    <w:rsid w:val="000B48F9"/>
    <w:rsid w:val="000B4DED"/>
    <w:rsid w:val="000B5B0D"/>
    <w:rsid w:val="000B5CA6"/>
    <w:rsid w:val="000B5FDB"/>
    <w:rsid w:val="000B61D1"/>
    <w:rsid w:val="000B6C9B"/>
    <w:rsid w:val="000B6CB2"/>
    <w:rsid w:val="000B6E68"/>
    <w:rsid w:val="000B7595"/>
    <w:rsid w:val="000B7C95"/>
    <w:rsid w:val="000B7F93"/>
    <w:rsid w:val="000C0D4C"/>
    <w:rsid w:val="000C106D"/>
    <w:rsid w:val="000C11FF"/>
    <w:rsid w:val="000C1967"/>
    <w:rsid w:val="000C22D9"/>
    <w:rsid w:val="000C2529"/>
    <w:rsid w:val="000C2567"/>
    <w:rsid w:val="000C2917"/>
    <w:rsid w:val="000C2EA2"/>
    <w:rsid w:val="000C39A5"/>
    <w:rsid w:val="000C3AE3"/>
    <w:rsid w:val="000C3D2B"/>
    <w:rsid w:val="000C42F1"/>
    <w:rsid w:val="000C4D6E"/>
    <w:rsid w:val="000C5440"/>
    <w:rsid w:val="000C5977"/>
    <w:rsid w:val="000C5CAB"/>
    <w:rsid w:val="000C61D5"/>
    <w:rsid w:val="000C630D"/>
    <w:rsid w:val="000C69C1"/>
    <w:rsid w:val="000C6AC2"/>
    <w:rsid w:val="000C6F4D"/>
    <w:rsid w:val="000C774C"/>
    <w:rsid w:val="000C799E"/>
    <w:rsid w:val="000C7BF2"/>
    <w:rsid w:val="000D028C"/>
    <w:rsid w:val="000D0AB5"/>
    <w:rsid w:val="000D0E17"/>
    <w:rsid w:val="000D0E61"/>
    <w:rsid w:val="000D14FF"/>
    <w:rsid w:val="000D1EFA"/>
    <w:rsid w:val="000D2162"/>
    <w:rsid w:val="000D3946"/>
    <w:rsid w:val="000D4219"/>
    <w:rsid w:val="000D4F26"/>
    <w:rsid w:val="000D50E1"/>
    <w:rsid w:val="000D58F9"/>
    <w:rsid w:val="000D5C09"/>
    <w:rsid w:val="000D6194"/>
    <w:rsid w:val="000D64B9"/>
    <w:rsid w:val="000D65F1"/>
    <w:rsid w:val="000D66D5"/>
    <w:rsid w:val="000D67F0"/>
    <w:rsid w:val="000D68B7"/>
    <w:rsid w:val="000E0C3A"/>
    <w:rsid w:val="000E1185"/>
    <w:rsid w:val="000E1E34"/>
    <w:rsid w:val="000E1E98"/>
    <w:rsid w:val="000E2173"/>
    <w:rsid w:val="000E23B1"/>
    <w:rsid w:val="000E24FB"/>
    <w:rsid w:val="000E2585"/>
    <w:rsid w:val="000E285F"/>
    <w:rsid w:val="000E34C4"/>
    <w:rsid w:val="000E3CD0"/>
    <w:rsid w:val="000E4222"/>
    <w:rsid w:val="000E52A9"/>
    <w:rsid w:val="000E5522"/>
    <w:rsid w:val="000E6044"/>
    <w:rsid w:val="000E632E"/>
    <w:rsid w:val="000E6F1E"/>
    <w:rsid w:val="000E7119"/>
    <w:rsid w:val="000E7779"/>
    <w:rsid w:val="000E796F"/>
    <w:rsid w:val="000E7A30"/>
    <w:rsid w:val="000E7CD3"/>
    <w:rsid w:val="000F0D0C"/>
    <w:rsid w:val="000F1C17"/>
    <w:rsid w:val="000F1CE6"/>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4B84"/>
    <w:rsid w:val="000F66D8"/>
    <w:rsid w:val="000F73AD"/>
    <w:rsid w:val="000F76BA"/>
    <w:rsid w:val="000F7CA4"/>
    <w:rsid w:val="000F7D07"/>
    <w:rsid w:val="000F7E90"/>
    <w:rsid w:val="000F7EDA"/>
    <w:rsid w:val="00101875"/>
    <w:rsid w:val="00101B40"/>
    <w:rsid w:val="00101D62"/>
    <w:rsid w:val="0010215D"/>
    <w:rsid w:val="00102252"/>
    <w:rsid w:val="00102274"/>
    <w:rsid w:val="001023C0"/>
    <w:rsid w:val="0010298C"/>
    <w:rsid w:val="001034C8"/>
    <w:rsid w:val="001040DE"/>
    <w:rsid w:val="00104458"/>
    <w:rsid w:val="001054B4"/>
    <w:rsid w:val="001055BC"/>
    <w:rsid w:val="00105DD1"/>
    <w:rsid w:val="00106002"/>
    <w:rsid w:val="00106156"/>
    <w:rsid w:val="00106513"/>
    <w:rsid w:val="00106648"/>
    <w:rsid w:val="00106A68"/>
    <w:rsid w:val="00106AE5"/>
    <w:rsid w:val="00106E8E"/>
    <w:rsid w:val="00106F0D"/>
    <w:rsid w:val="001075B5"/>
    <w:rsid w:val="001076B1"/>
    <w:rsid w:val="00107908"/>
    <w:rsid w:val="00107F05"/>
    <w:rsid w:val="00107F46"/>
    <w:rsid w:val="00107F9A"/>
    <w:rsid w:val="001100FD"/>
    <w:rsid w:val="0011037B"/>
    <w:rsid w:val="001103D0"/>
    <w:rsid w:val="00110801"/>
    <w:rsid w:val="00110A5B"/>
    <w:rsid w:val="00110DD1"/>
    <w:rsid w:val="00110E41"/>
    <w:rsid w:val="001110BF"/>
    <w:rsid w:val="00111404"/>
    <w:rsid w:val="001117D2"/>
    <w:rsid w:val="00112219"/>
    <w:rsid w:val="00112940"/>
    <w:rsid w:val="00113761"/>
    <w:rsid w:val="001138A7"/>
    <w:rsid w:val="00114170"/>
    <w:rsid w:val="0011420F"/>
    <w:rsid w:val="00114DC7"/>
    <w:rsid w:val="00115E5E"/>
    <w:rsid w:val="0011632F"/>
    <w:rsid w:val="0011640A"/>
    <w:rsid w:val="001165F2"/>
    <w:rsid w:val="00116D91"/>
    <w:rsid w:val="00117BAF"/>
    <w:rsid w:val="00120111"/>
    <w:rsid w:val="001203A8"/>
    <w:rsid w:val="001205DF"/>
    <w:rsid w:val="00120D17"/>
    <w:rsid w:val="00120DA2"/>
    <w:rsid w:val="00121A08"/>
    <w:rsid w:val="0012242F"/>
    <w:rsid w:val="0012294C"/>
    <w:rsid w:val="00122E8E"/>
    <w:rsid w:val="0012360D"/>
    <w:rsid w:val="00123BB2"/>
    <w:rsid w:val="001241AF"/>
    <w:rsid w:val="00124439"/>
    <w:rsid w:val="0012448A"/>
    <w:rsid w:val="00124734"/>
    <w:rsid w:val="00124FFD"/>
    <w:rsid w:val="001256A7"/>
    <w:rsid w:val="00125BC0"/>
    <w:rsid w:val="00126785"/>
    <w:rsid w:val="00126986"/>
    <w:rsid w:val="00126EC9"/>
    <w:rsid w:val="001271F1"/>
    <w:rsid w:val="0012725A"/>
    <w:rsid w:val="0013020D"/>
    <w:rsid w:val="001317DF"/>
    <w:rsid w:val="00131A95"/>
    <w:rsid w:val="0013200A"/>
    <w:rsid w:val="0013213A"/>
    <w:rsid w:val="00132A99"/>
    <w:rsid w:val="001330F4"/>
    <w:rsid w:val="0013360D"/>
    <w:rsid w:val="00133BFA"/>
    <w:rsid w:val="001345E6"/>
    <w:rsid w:val="001347BE"/>
    <w:rsid w:val="0013482E"/>
    <w:rsid w:val="001349B1"/>
    <w:rsid w:val="00134AD9"/>
    <w:rsid w:val="00134DFA"/>
    <w:rsid w:val="00135205"/>
    <w:rsid w:val="0013520F"/>
    <w:rsid w:val="001352EE"/>
    <w:rsid w:val="00135D76"/>
    <w:rsid w:val="00135E66"/>
    <w:rsid w:val="00135F47"/>
    <w:rsid w:val="001364B0"/>
    <w:rsid w:val="00136A77"/>
    <w:rsid w:val="00136FF1"/>
    <w:rsid w:val="00137033"/>
    <w:rsid w:val="0013744D"/>
    <w:rsid w:val="0013773D"/>
    <w:rsid w:val="001378B1"/>
    <w:rsid w:val="00140F16"/>
    <w:rsid w:val="001415F3"/>
    <w:rsid w:val="00141938"/>
    <w:rsid w:val="001419B0"/>
    <w:rsid w:val="00141A3B"/>
    <w:rsid w:val="00142474"/>
    <w:rsid w:val="001424BE"/>
    <w:rsid w:val="001429E5"/>
    <w:rsid w:val="00142E63"/>
    <w:rsid w:val="00143695"/>
    <w:rsid w:val="0014447B"/>
    <w:rsid w:val="00144636"/>
    <w:rsid w:val="00144B78"/>
    <w:rsid w:val="00144F41"/>
    <w:rsid w:val="001459FD"/>
    <w:rsid w:val="00146041"/>
    <w:rsid w:val="00146141"/>
    <w:rsid w:val="00146863"/>
    <w:rsid w:val="001468C5"/>
    <w:rsid w:val="00146F4F"/>
    <w:rsid w:val="0014743A"/>
    <w:rsid w:val="00147AA6"/>
    <w:rsid w:val="001504EE"/>
    <w:rsid w:val="001508DB"/>
    <w:rsid w:val="00150921"/>
    <w:rsid w:val="00151692"/>
    <w:rsid w:val="00151954"/>
    <w:rsid w:val="00151E71"/>
    <w:rsid w:val="00151F34"/>
    <w:rsid w:val="001520F4"/>
    <w:rsid w:val="00152114"/>
    <w:rsid w:val="00152546"/>
    <w:rsid w:val="001528D1"/>
    <w:rsid w:val="001529D1"/>
    <w:rsid w:val="00152DE7"/>
    <w:rsid w:val="001530DB"/>
    <w:rsid w:val="001533B5"/>
    <w:rsid w:val="00153CBB"/>
    <w:rsid w:val="0015422A"/>
    <w:rsid w:val="00154C48"/>
    <w:rsid w:val="0015589E"/>
    <w:rsid w:val="00156406"/>
    <w:rsid w:val="0015642D"/>
    <w:rsid w:val="001567BB"/>
    <w:rsid w:val="00156EF3"/>
    <w:rsid w:val="00156FFA"/>
    <w:rsid w:val="00157310"/>
    <w:rsid w:val="00157680"/>
    <w:rsid w:val="001578E7"/>
    <w:rsid w:val="001579CE"/>
    <w:rsid w:val="00157A69"/>
    <w:rsid w:val="00157A85"/>
    <w:rsid w:val="00157C7B"/>
    <w:rsid w:val="001600EC"/>
    <w:rsid w:val="00160104"/>
    <w:rsid w:val="0016026F"/>
    <w:rsid w:val="00160C5F"/>
    <w:rsid w:val="00161258"/>
    <w:rsid w:val="00161381"/>
    <w:rsid w:val="00161E59"/>
    <w:rsid w:val="00163B0D"/>
    <w:rsid w:val="00164038"/>
    <w:rsid w:val="001640B3"/>
    <w:rsid w:val="0016418C"/>
    <w:rsid w:val="00164524"/>
    <w:rsid w:val="00164828"/>
    <w:rsid w:val="00164D99"/>
    <w:rsid w:val="001652B0"/>
    <w:rsid w:val="00165774"/>
    <w:rsid w:val="00165DF8"/>
    <w:rsid w:val="00166953"/>
    <w:rsid w:val="00166A8E"/>
    <w:rsid w:val="00166E2D"/>
    <w:rsid w:val="00167B22"/>
    <w:rsid w:val="00170515"/>
    <w:rsid w:val="0017076F"/>
    <w:rsid w:val="0017077B"/>
    <w:rsid w:val="00170F30"/>
    <w:rsid w:val="00171249"/>
    <w:rsid w:val="001719A3"/>
    <w:rsid w:val="00171B16"/>
    <w:rsid w:val="00171FFF"/>
    <w:rsid w:val="001724EC"/>
    <w:rsid w:val="00172FF2"/>
    <w:rsid w:val="0017340B"/>
    <w:rsid w:val="0017351B"/>
    <w:rsid w:val="001738A4"/>
    <w:rsid w:val="001738C8"/>
    <w:rsid w:val="00173D55"/>
    <w:rsid w:val="00173FD1"/>
    <w:rsid w:val="001743EA"/>
    <w:rsid w:val="001754AC"/>
    <w:rsid w:val="001755C2"/>
    <w:rsid w:val="00175FA3"/>
    <w:rsid w:val="001765BB"/>
    <w:rsid w:val="00176AEF"/>
    <w:rsid w:val="00176C53"/>
    <w:rsid w:val="00176DBA"/>
    <w:rsid w:val="00176FB7"/>
    <w:rsid w:val="00177176"/>
    <w:rsid w:val="00177A59"/>
    <w:rsid w:val="00180052"/>
    <w:rsid w:val="00180330"/>
    <w:rsid w:val="001812E3"/>
    <w:rsid w:val="001815EE"/>
    <w:rsid w:val="00181DD4"/>
    <w:rsid w:val="001820F2"/>
    <w:rsid w:val="00182292"/>
    <w:rsid w:val="001824D5"/>
    <w:rsid w:val="00182B84"/>
    <w:rsid w:val="001831AA"/>
    <w:rsid w:val="001838BC"/>
    <w:rsid w:val="00183B52"/>
    <w:rsid w:val="00183C3B"/>
    <w:rsid w:val="00183F9A"/>
    <w:rsid w:val="0018471A"/>
    <w:rsid w:val="00184922"/>
    <w:rsid w:val="00184FF0"/>
    <w:rsid w:val="001852EF"/>
    <w:rsid w:val="00186083"/>
    <w:rsid w:val="0018663E"/>
    <w:rsid w:val="00186A91"/>
    <w:rsid w:val="00186C07"/>
    <w:rsid w:val="00186E74"/>
    <w:rsid w:val="0018772B"/>
    <w:rsid w:val="00187A59"/>
    <w:rsid w:val="00190161"/>
    <w:rsid w:val="001901DB"/>
    <w:rsid w:val="00191D13"/>
    <w:rsid w:val="0019239F"/>
    <w:rsid w:val="001926F2"/>
    <w:rsid w:val="00192E18"/>
    <w:rsid w:val="001931F7"/>
    <w:rsid w:val="00193597"/>
    <w:rsid w:val="00193805"/>
    <w:rsid w:val="00193874"/>
    <w:rsid w:val="00193BA1"/>
    <w:rsid w:val="001941CC"/>
    <w:rsid w:val="00194356"/>
    <w:rsid w:val="001944D5"/>
    <w:rsid w:val="0019487F"/>
    <w:rsid w:val="00195300"/>
    <w:rsid w:val="00195404"/>
    <w:rsid w:val="001959CB"/>
    <w:rsid w:val="00195FBB"/>
    <w:rsid w:val="001961A5"/>
    <w:rsid w:val="00196F63"/>
    <w:rsid w:val="00197320"/>
    <w:rsid w:val="00197972"/>
    <w:rsid w:val="001A0427"/>
    <w:rsid w:val="001A0472"/>
    <w:rsid w:val="001A0760"/>
    <w:rsid w:val="001A0839"/>
    <w:rsid w:val="001A11EA"/>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5234"/>
    <w:rsid w:val="001A58DB"/>
    <w:rsid w:val="001A6285"/>
    <w:rsid w:val="001A6B3D"/>
    <w:rsid w:val="001A6C44"/>
    <w:rsid w:val="001A70B5"/>
    <w:rsid w:val="001A75A8"/>
    <w:rsid w:val="001A7669"/>
    <w:rsid w:val="001A7995"/>
    <w:rsid w:val="001A7B38"/>
    <w:rsid w:val="001A7B60"/>
    <w:rsid w:val="001A7C4C"/>
    <w:rsid w:val="001B05A0"/>
    <w:rsid w:val="001B05FA"/>
    <w:rsid w:val="001B0D70"/>
    <w:rsid w:val="001B12F3"/>
    <w:rsid w:val="001B1407"/>
    <w:rsid w:val="001B1463"/>
    <w:rsid w:val="001B1BD7"/>
    <w:rsid w:val="001B20BB"/>
    <w:rsid w:val="001B25A1"/>
    <w:rsid w:val="001B26CF"/>
    <w:rsid w:val="001B37A8"/>
    <w:rsid w:val="001B3971"/>
    <w:rsid w:val="001B3B7F"/>
    <w:rsid w:val="001B3D7F"/>
    <w:rsid w:val="001B4630"/>
    <w:rsid w:val="001B46D7"/>
    <w:rsid w:val="001B47F5"/>
    <w:rsid w:val="001B4B1D"/>
    <w:rsid w:val="001B4D8B"/>
    <w:rsid w:val="001B4E4A"/>
    <w:rsid w:val="001B53DB"/>
    <w:rsid w:val="001B5990"/>
    <w:rsid w:val="001B5EC4"/>
    <w:rsid w:val="001B6117"/>
    <w:rsid w:val="001B62EE"/>
    <w:rsid w:val="001B63D9"/>
    <w:rsid w:val="001B6647"/>
    <w:rsid w:val="001B69BC"/>
    <w:rsid w:val="001B6EBF"/>
    <w:rsid w:val="001B7076"/>
    <w:rsid w:val="001B74E6"/>
    <w:rsid w:val="001B75E2"/>
    <w:rsid w:val="001B770F"/>
    <w:rsid w:val="001B7BE6"/>
    <w:rsid w:val="001B7DAB"/>
    <w:rsid w:val="001C09BD"/>
    <w:rsid w:val="001C1122"/>
    <w:rsid w:val="001C1174"/>
    <w:rsid w:val="001C1874"/>
    <w:rsid w:val="001C18A8"/>
    <w:rsid w:val="001C18BF"/>
    <w:rsid w:val="001C1D17"/>
    <w:rsid w:val="001C1D48"/>
    <w:rsid w:val="001C1E84"/>
    <w:rsid w:val="001C1E9B"/>
    <w:rsid w:val="001C2044"/>
    <w:rsid w:val="001C2B3D"/>
    <w:rsid w:val="001C35A6"/>
    <w:rsid w:val="001C4406"/>
    <w:rsid w:val="001C4B3E"/>
    <w:rsid w:val="001C57E9"/>
    <w:rsid w:val="001C5EE9"/>
    <w:rsid w:val="001C6106"/>
    <w:rsid w:val="001C6719"/>
    <w:rsid w:val="001C6985"/>
    <w:rsid w:val="001C6D9E"/>
    <w:rsid w:val="001C71D8"/>
    <w:rsid w:val="001D02AD"/>
    <w:rsid w:val="001D0337"/>
    <w:rsid w:val="001D0B74"/>
    <w:rsid w:val="001D0ED7"/>
    <w:rsid w:val="001D144E"/>
    <w:rsid w:val="001D2540"/>
    <w:rsid w:val="001D28E1"/>
    <w:rsid w:val="001D46CF"/>
    <w:rsid w:val="001D4DA2"/>
    <w:rsid w:val="001D5331"/>
    <w:rsid w:val="001D57C0"/>
    <w:rsid w:val="001D5EAF"/>
    <w:rsid w:val="001D610D"/>
    <w:rsid w:val="001D71A7"/>
    <w:rsid w:val="001D74EA"/>
    <w:rsid w:val="001D7D79"/>
    <w:rsid w:val="001E00BD"/>
    <w:rsid w:val="001E05E9"/>
    <w:rsid w:val="001E06D2"/>
    <w:rsid w:val="001E0AAC"/>
    <w:rsid w:val="001E0C84"/>
    <w:rsid w:val="001E1778"/>
    <w:rsid w:val="001E19BD"/>
    <w:rsid w:val="001E1BB7"/>
    <w:rsid w:val="001E1BED"/>
    <w:rsid w:val="001E28BC"/>
    <w:rsid w:val="001E2D34"/>
    <w:rsid w:val="001E3F15"/>
    <w:rsid w:val="001E3F1D"/>
    <w:rsid w:val="001E412E"/>
    <w:rsid w:val="001E43CA"/>
    <w:rsid w:val="001E4623"/>
    <w:rsid w:val="001E4691"/>
    <w:rsid w:val="001E4A6A"/>
    <w:rsid w:val="001E52A8"/>
    <w:rsid w:val="001E6915"/>
    <w:rsid w:val="001E6942"/>
    <w:rsid w:val="001E6C67"/>
    <w:rsid w:val="001E6C7C"/>
    <w:rsid w:val="001E6C84"/>
    <w:rsid w:val="001E75E3"/>
    <w:rsid w:val="001E7BE1"/>
    <w:rsid w:val="001E7FF9"/>
    <w:rsid w:val="001F1007"/>
    <w:rsid w:val="001F1644"/>
    <w:rsid w:val="001F2148"/>
    <w:rsid w:val="001F27CA"/>
    <w:rsid w:val="001F318E"/>
    <w:rsid w:val="001F391A"/>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6EA"/>
    <w:rsid w:val="001F6E90"/>
    <w:rsid w:val="001F799A"/>
    <w:rsid w:val="0020045D"/>
    <w:rsid w:val="0020051C"/>
    <w:rsid w:val="002008CE"/>
    <w:rsid w:val="00200926"/>
    <w:rsid w:val="00200FFA"/>
    <w:rsid w:val="0020133D"/>
    <w:rsid w:val="0020175D"/>
    <w:rsid w:val="00202004"/>
    <w:rsid w:val="00202458"/>
    <w:rsid w:val="002026A8"/>
    <w:rsid w:val="002027E2"/>
    <w:rsid w:val="00202825"/>
    <w:rsid w:val="00202BAF"/>
    <w:rsid w:val="00202E87"/>
    <w:rsid w:val="00203CC8"/>
    <w:rsid w:val="00203E22"/>
    <w:rsid w:val="0020426D"/>
    <w:rsid w:val="00205528"/>
    <w:rsid w:val="00205998"/>
    <w:rsid w:val="00205A94"/>
    <w:rsid w:val="00205B8D"/>
    <w:rsid w:val="00206253"/>
    <w:rsid w:val="002070EE"/>
    <w:rsid w:val="002075C6"/>
    <w:rsid w:val="00207F40"/>
    <w:rsid w:val="00210172"/>
    <w:rsid w:val="002106DF"/>
    <w:rsid w:val="002108D2"/>
    <w:rsid w:val="00211CF6"/>
    <w:rsid w:val="00212017"/>
    <w:rsid w:val="002122A4"/>
    <w:rsid w:val="002124DC"/>
    <w:rsid w:val="0021346D"/>
    <w:rsid w:val="0021514B"/>
    <w:rsid w:val="002157CE"/>
    <w:rsid w:val="002159EF"/>
    <w:rsid w:val="002163D7"/>
    <w:rsid w:val="002168D7"/>
    <w:rsid w:val="00216CFC"/>
    <w:rsid w:val="002175EF"/>
    <w:rsid w:val="002175F8"/>
    <w:rsid w:val="002204AD"/>
    <w:rsid w:val="002208B9"/>
    <w:rsid w:val="00220C66"/>
    <w:rsid w:val="0022119D"/>
    <w:rsid w:val="002219FF"/>
    <w:rsid w:val="00221AC4"/>
    <w:rsid w:val="002226E9"/>
    <w:rsid w:val="002230EC"/>
    <w:rsid w:val="00223324"/>
    <w:rsid w:val="002234C1"/>
    <w:rsid w:val="002236E7"/>
    <w:rsid w:val="00223D18"/>
    <w:rsid w:val="00223D2E"/>
    <w:rsid w:val="00223E15"/>
    <w:rsid w:val="002243F1"/>
    <w:rsid w:val="00224478"/>
    <w:rsid w:val="00224D33"/>
    <w:rsid w:val="002257D4"/>
    <w:rsid w:val="00226F0A"/>
    <w:rsid w:val="0022713D"/>
    <w:rsid w:val="00227266"/>
    <w:rsid w:val="00227495"/>
    <w:rsid w:val="00227E97"/>
    <w:rsid w:val="00230095"/>
    <w:rsid w:val="0023018E"/>
    <w:rsid w:val="00230376"/>
    <w:rsid w:val="002303B2"/>
    <w:rsid w:val="00230689"/>
    <w:rsid w:val="002307FF"/>
    <w:rsid w:val="00230A91"/>
    <w:rsid w:val="0023188E"/>
    <w:rsid w:val="0023190A"/>
    <w:rsid w:val="00232092"/>
    <w:rsid w:val="002324B9"/>
    <w:rsid w:val="00232C13"/>
    <w:rsid w:val="00233950"/>
    <w:rsid w:val="00233A6F"/>
    <w:rsid w:val="00233FE3"/>
    <w:rsid w:val="002344C8"/>
    <w:rsid w:val="0023467A"/>
    <w:rsid w:val="002349FB"/>
    <w:rsid w:val="002357A8"/>
    <w:rsid w:val="00235933"/>
    <w:rsid w:val="00235BAB"/>
    <w:rsid w:val="00235BDE"/>
    <w:rsid w:val="00236573"/>
    <w:rsid w:val="00236BA9"/>
    <w:rsid w:val="00236BCA"/>
    <w:rsid w:val="00237043"/>
    <w:rsid w:val="002375DC"/>
    <w:rsid w:val="002378D2"/>
    <w:rsid w:val="00237E14"/>
    <w:rsid w:val="0024057A"/>
    <w:rsid w:val="00240C2E"/>
    <w:rsid w:val="0024169D"/>
    <w:rsid w:val="00242C8E"/>
    <w:rsid w:val="00242D89"/>
    <w:rsid w:val="00242F92"/>
    <w:rsid w:val="0024314F"/>
    <w:rsid w:val="0024358B"/>
    <w:rsid w:val="0024381A"/>
    <w:rsid w:val="00243B35"/>
    <w:rsid w:val="00243FC2"/>
    <w:rsid w:val="00244AF7"/>
    <w:rsid w:val="00244BBF"/>
    <w:rsid w:val="00245629"/>
    <w:rsid w:val="00245B16"/>
    <w:rsid w:val="00246A14"/>
    <w:rsid w:val="00246B13"/>
    <w:rsid w:val="00247073"/>
    <w:rsid w:val="0024786B"/>
    <w:rsid w:val="00247A71"/>
    <w:rsid w:val="00247E0A"/>
    <w:rsid w:val="0025077F"/>
    <w:rsid w:val="00250A08"/>
    <w:rsid w:val="0025180F"/>
    <w:rsid w:val="00252D27"/>
    <w:rsid w:val="00252D3E"/>
    <w:rsid w:val="002530D2"/>
    <w:rsid w:val="00253377"/>
    <w:rsid w:val="002535E7"/>
    <w:rsid w:val="002542B6"/>
    <w:rsid w:val="002543AD"/>
    <w:rsid w:val="002545F7"/>
    <w:rsid w:val="00254863"/>
    <w:rsid w:val="00254943"/>
    <w:rsid w:val="00254FB2"/>
    <w:rsid w:val="002559EA"/>
    <w:rsid w:val="00255E62"/>
    <w:rsid w:val="00255E82"/>
    <w:rsid w:val="00256CE8"/>
    <w:rsid w:val="002573B9"/>
    <w:rsid w:val="00257557"/>
    <w:rsid w:val="002602A5"/>
    <w:rsid w:val="00260412"/>
    <w:rsid w:val="002607A1"/>
    <w:rsid w:val="002609FD"/>
    <w:rsid w:val="00260F19"/>
    <w:rsid w:val="0026114C"/>
    <w:rsid w:val="0026137B"/>
    <w:rsid w:val="0026151A"/>
    <w:rsid w:val="00261D16"/>
    <w:rsid w:val="00262D77"/>
    <w:rsid w:val="002631F2"/>
    <w:rsid w:val="00263611"/>
    <w:rsid w:val="00264522"/>
    <w:rsid w:val="00264584"/>
    <w:rsid w:val="002645FF"/>
    <w:rsid w:val="002647D5"/>
    <w:rsid w:val="002658AD"/>
    <w:rsid w:val="002659C4"/>
    <w:rsid w:val="0026602C"/>
    <w:rsid w:val="0026608A"/>
    <w:rsid w:val="00266319"/>
    <w:rsid w:val="0026665A"/>
    <w:rsid w:val="00266826"/>
    <w:rsid w:val="002668CE"/>
    <w:rsid w:val="0026696D"/>
    <w:rsid w:val="00266B15"/>
    <w:rsid w:val="0026725F"/>
    <w:rsid w:val="00267719"/>
    <w:rsid w:val="00267B99"/>
    <w:rsid w:val="00267FF5"/>
    <w:rsid w:val="00270292"/>
    <w:rsid w:val="00270494"/>
    <w:rsid w:val="002709DB"/>
    <w:rsid w:val="00270C0A"/>
    <w:rsid w:val="0027141C"/>
    <w:rsid w:val="00271B14"/>
    <w:rsid w:val="00272D54"/>
    <w:rsid w:val="0027333B"/>
    <w:rsid w:val="002734BB"/>
    <w:rsid w:val="00273BCB"/>
    <w:rsid w:val="00274456"/>
    <w:rsid w:val="0027452C"/>
    <w:rsid w:val="00274565"/>
    <w:rsid w:val="002745C9"/>
    <w:rsid w:val="0027466C"/>
    <w:rsid w:val="00274999"/>
    <w:rsid w:val="00274C1F"/>
    <w:rsid w:val="0027503C"/>
    <w:rsid w:val="002758BB"/>
    <w:rsid w:val="0027629A"/>
    <w:rsid w:val="002764A4"/>
    <w:rsid w:val="0027668B"/>
    <w:rsid w:val="0027697B"/>
    <w:rsid w:val="00277189"/>
    <w:rsid w:val="002771B1"/>
    <w:rsid w:val="00277559"/>
    <w:rsid w:val="00277C54"/>
    <w:rsid w:val="00277EA4"/>
    <w:rsid w:val="00280015"/>
    <w:rsid w:val="0028008B"/>
    <w:rsid w:val="00280429"/>
    <w:rsid w:val="002815C0"/>
    <w:rsid w:val="002815F6"/>
    <w:rsid w:val="002818C4"/>
    <w:rsid w:val="002821F5"/>
    <w:rsid w:val="00282466"/>
    <w:rsid w:val="00282780"/>
    <w:rsid w:val="0028286A"/>
    <w:rsid w:val="0028313F"/>
    <w:rsid w:val="00283208"/>
    <w:rsid w:val="00283459"/>
    <w:rsid w:val="00283812"/>
    <w:rsid w:val="00283986"/>
    <w:rsid w:val="00283C2F"/>
    <w:rsid w:val="00283D81"/>
    <w:rsid w:val="00283E1E"/>
    <w:rsid w:val="002853FB"/>
    <w:rsid w:val="00285480"/>
    <w:rsid w:val="00285741"/>
    <w:rsid w:val="00286EA2"/>
    <w:rsid w:val="0028774E"/>
    <w:rsid w:val="00287CA5"/>
    <w:rsid w:val="0029040E"/>
    <w:rsid w:val="002906C1"/>
    <w:rsid w:val="0029080D"/>
    <w:rsid w:val="00290F30"/>
    <w:rsid w:val="0029102A"/>
    <w:rsid w:val="002910B6"/>
    <w:rsid w:val="00291142"/>
    <w:rsid w:val="00291EFD"/>
    <w:rsid w:val="00291FCE"/>
    <w:rsid w:val="0029282C"/>
    <w:rsid w:val="00292972"/>
    <w:rsid w:val="002938E3"/>
    <w:rsid w:val="0029415F"/>
    <w:rsid w:val="00294880"/>
    <w:rsid w:val="00294BC1"/>
    <w:rsid w:val="002960D1"/>
    <w:rsid w:val="00296421"/>
    <w:rsid w:val="0029644F"/>
    <w:rsid w:val="00296B0C"/>
    <w:rsid w:val="00296CCD"/>
    <w:rsid w:val="002976C4"/>
    <w:rsid w:val="0029777A"/>
    <w:rsid w:val="002A0267"/>
    <w:rsid w:val="002A0680"/>
    <w:rsid w:val="002A07FB"/>
    <w:rsid w:val="002A0BEB"/>
    <w:rsid w:val="002A10C2"/>
    <w:rsid w:val="002A172F"/>
    <w:rsid w:val="002A1909"/>
    <w:rsid w:val="002A25EC"/>
    <w:rsid w:val="002A2FDA"/>
    <w:rsid w:val="002A3487"/>
    <w:rsid w:val="002A3E79"/>
    <w:rsid w:val="002A415B"/>
    <w:rsid w:val="002A4365"/>
    <w:rsid w:val="002A45FD"/>
    <w:rsid w:val="002A49F7"/>
    <w:rsid w:val="002A4AC3"/>
    <w:rsid w:val="002A51A8"/>
    <w:rsid w:val="002A538C"/>
    <w:rsid w:val="002A53D0"/>
    <w:rsid w:val="002A557C"/>
    <w:rsid w:val="002A6335"/>
    <w:rsid w:val="002A6CC4"/>
    <w:rsid w:val="002A6EE7"/>
    <w:rsid w:val="002A76AB"/>
    <w:rsid w:val="002A775F"/>
    <w:rsid w:val="002A78E0"/>
    <w:rsid w:val="002A7ABB"/>
    <w:rsid w:val="002A7D62"/>
    <w:rsid w:val="002B00AB"/>
    <w:rsid w:val="002B039A"/>
    <w:rsid w:val="002B04EC"/>
    <w:rsid w:val="002B06D8"/>
    <w:rsid w:val="002B0BD6"/>
    <w:rsid w:val="002B119E"/>
    <w:rsid w:val="002B1B77"/>
    <w:rsid w:val="002B1CA7"/>
    <w:rsid w:val="002B2888"/>
    <w:rsid w:val="002B2DA0"/>
    <w:rsid w:val="002B3073"/>
    <w:rsid w:val="002B33A5"/>
    <w:rsid w:val="002B362C"/>
    <w:rsid w:val="002B4057"/>
    <w:rsid w:val="002B459C"/>
    <w:rsid w:val="002B48C3"/>
    <w:rsid w:val="002B4903"/>
    <w:rsid w:val="002B54FB"/>
    <w:rsid w:val="002B5AFE"/>
    <w:rsid w:val="002B5B4E"/>
    <w:rsid w:val="002B5CCF"/>
    <w:rsid w:val="002B647C"/>
    <w:rsid w:val="002B6560"/>
    <w:rsid w:val="002B6A5A"/>
    <w:rsid w:val="002B733A"/>
    <w:rsid w:val="002B744E"/>
    <w:rsid w:val="002B7CED"/>
    <w:rsid w:val="002C0239"/>
    <w:rsid w:val="002C03E8"/>
    <w:rsid w:val="002C0588"/>
    <w:rsid w:val="002C0978"/>
    <w:rsid w:val="002C119E"/>
    <w:rsid w:val="002C1DB9"/>
    <w:rsid w:val="002C2015"/>
    <w:rsid w:val="002C20E0"/>
    <w:rsid w:val="002C2381"/>
    <w:rsid w:val="002C269F"/>
    <w:rsid w:val="002C27C7"/>
    <w:rsid w:val="002C289B"/>
    <w:rsid w:val="002C2ACD"/>
    <w:rsid w:val="002C3620"/>
    <w:rsid w:val="002C40C6"/>
    <w:rsid w:val="002C42B8"/>
    <w:rsid w:val="002C43BE"/>
    <w:rsid w:val="002C4608"/>
    <w:rsid w:val="002C4B78"/>
    <w:rsid w:val="002C6418"/>
    <w:rsid w:val="002C7078"/>
    <w:rsid w:val="002C78C4"/>
    <w:rsid w:val="002D05C9"/>
    <w:rsid w:val="002D094D"/>
    <w:rsid w:val="002D1349"/>
    <w:rsid w:val="002D1450"/>
    <w:rsid w:val="002D23CB"/>
    <w:rsid w:val="002D243B"/>
    <w:rsid w:val="002D26E9"/>
    <w:rsid w:val="002D300C"/>
    <w:rsid w:val="002D3117"/>
    <w:rsid w:val="002D46A4"/>
    <w:rsid w:val="002D4EE4"/>
    <w:rsid w:val="002D5011"/>
    <w:rsid w:val="002D5259"/>
    <w:rsid w:val="002D5D68"/>
    <w:rsid w:val="002D5EB9"/>
    <w:rsid w:val="002D6622"/>
    <w:rsid w:val="002D6AB7"/>
    <w:rsid w:val="002D6B70"/>
    <w:rsid w:val="002D77C5"/>
    <w:rsid w:val="002D7BDF"/>
    <w:rsid w:val="002D7DAC"/>
    <w:rsid w:val="002E0420"/>
    <w:rsid w:val="002E0E0D"/>
    <w:rsid w:val="002E139E"/>
    <w:rsid w:val="002E1A23"/>
    <w:rsid w:val="002E1B6A"/>
    <w:rsid w:val="002E2473"/>
    <w:rsid w:val="002E2855"/>
    <w:rsid w:val="002E2E16"/>
    <w:rsid w:val="002E358F"/>
    <w:rsid w:val="002E3670"/>
    <w:rsid w:val="002E397C"/>
    <w:rsid w:val="002E4D04"/>
    <w:rsid w:val="002E4E18"/>
    <w:rsid w:val="002E5033"/>
    <w:rsid w:val="002E567C"/>
    <w:rsid w:val="002E589A"/>
    <w:rsid w:val="002E5A18"/>
    <w:rsid w:val="002E5B67"/>
    <w:rsid w:val="002E5C53"/>
    <w:rsid w:val="002E6AE9"/>
    <w:rsid w:val="002E6C04"/>
    <w:rsid w:val="002E70D0"/>
    <w:rsid w:val="002E73A3"/>
    <w:rsid w:val="002E781A"/>
    <w:rsid w:val="002E79A1"/>
    <w:rsid w:val="002E7B1D"/>
    <w:rsid w:val="002E7EE3"/>
    <w:rsid w:val="002F0AE7"/>
    <w:rsid w:val="002F0B38"/>
    <w:rsid w:val="002F101A"/>
    <w:rsid w:val="002F1286"/>
    <w:rsid w:val="002F1776"/>
    <w:rsid w:val="002F18C6"/>
    <w:rsid w:val="002F198B"/>
    <w:rsid w:val="002F1A51"/>
    <w:rsid w:val="002F1B1C"/>
    <w:rsid w:val="002F1B59"/>
    <w:rsid w:val="002F23F1"/>
    <w:rsid w:val="002F24D5"/>
    <w:rsid w:val="002F2E7E"/>
    <w:rsid w:val="002F330A"/>
    <w:rsid w:val="002F33C9"/>
    <w:rsid w:val="002F396C"/>
    <w:rsid w:val="002F3ADC"/>
    <w:rsid w:val="002F3BC0"/>
    <w:rsid w:val="002F3D23"/>
    <w:rsid w:val="002F40FD"/>
    <w:rsid w:val="002F4415"/>
    <w:rsid w:val="002F4790"/>
    <w:rsid w:val="002F5571"/>
    <w:rsid w:val="002F5E36"/>
    <w:rsid w:val="002F5F14"/>
    <w:rsid w:val="002F6256"/>
    <w:rsid w:val="002F641F"/>
    <w:rsid w:val="002F6651"/>
    <w:rsid w:val="002F68E5"/>
    <w:rsid w:val="002F6A51"/>
    <w:rsid w:val="002F72AA"/>
    <w:rsid w:val="002F7583"/>
    <w:rsid w:val="00300C45"/>
    <w:rsid w:val="00301763"/>
    <w:rsid w:val="00302160"/>
    <w:rsid w:val="003023D7"/>
    <w:rsid w:val="003028B9"/>
    <w:rsid w:val="003028C5"/>
    <w:rsid w:val="00303FA6"/>
    <w:rsid w:val="00304205"/>
    <w:rsid w:val="00304C40"/>
    <w:rsid w:val="0030519B"/>
    <w:rsid w:val="0030535C"/>
    <w:rsid w:val="00306A41"/>
    <w:rsid w:val="00306BD5"/>
    <w:rsid w:val="0030797D"/>
    <w:rsid w:val="00307C69"/>
    <w:rsid w:val="003108F3"/>
    <w:rsid w:val="00310B60"/>
    <w:rsid w:val="0031163E"/>
    <w:rsid w:val="00311F29"/>
    <w:rsid w:val="003128C0"/>
    <w:rsid w:val="00312EBC"/>
    <w:rsid w:val="003130B4"/>
    <w:rsid w:val="003131F2"/>
    <w:rsid w:val="00313ACA"/>
    <w:rsid w:val="003142D3"/>
    <w:rsid w:val="003146CD"/>
    <w:rsid w:val="00314EF8"/>
    <w:rsid w:val="003158FF"/>
    <w:rsid w:val="00315B5D"/>
    <w:rsid w:val="003161D5"/>
    <w:rsid w:val="00316915"/>
    <w:rsid w:val="00316E29"/>
    <w:rsid w:val="003173C2"/>
    <w:rsid w:val="003174E7"/>
    <w:rsid w:val="00317B68"/>
    <w:rsid w:val="00317C25"/>
    <w:rsid w:val="00317DE7"/>
    <w:rsid w:val="00317E50"/>
    <w:rsid w:val="00317E73"/>
    <w:rsid w:val="0032034F"/>
    <w:rsid w:val="00320602"/>
    <w:rsid w:val="003209BC"/>
    <w:rsid w:val="00321C4C"/>
    <w:rsid w:val="003224BF"/>
    <w:rsid w:val="00322DA2"/>
    <w:rsid w:val="00323095"/>
    <w:rsid w:val="0032375E"/>
    <w:rsid w:val="00323A2E"/>
    <w:rsid w:val="003243C1"/>
    <w:rsid w:val="003246B3"/>
    <w:rsid w:val="003249DF"/>
    <w:rsid w:val="0032555B"/>
    <w:rsid w:val="00325B5C"/>
    <w:rsid w:val="00326642"/>
    <w:rsid w:val="0032667F"/>
    <w:rsid w:val="00326C6C"/>
    <w:rsid w:val="00326DA0"/>
    <w:rsid w:val="00326E89"/>
    <w:rsid w:val="003270AB"/>
    <w:rsid w:val="00327287"/>
    <w:rsid w:val="003277BC"/>
    <w:rsid w:val="00327B3E"/>
    <w:rsid w:val="00327D03"/>
    <w:rsid w:val="003304A3"/>
    <w:rsid w:val="0033051A"/>
    <w:rsid w:val="00330BD4"/>
    <w:rsid w:val="00330DEE"/>
    <w:rsid w:val="0033148C"/>
    <w:rsid w:val="003314C2"/>
    <w:rsid w:val="00331770"/>
    <w:rsid w:val="00331BF7"/>
    <w:rsid w:val="003323BA"/>
    <w:rsid w:val="003330B3"/>
    <w:rsid w:val="003332E5"/>
    <w:rsid w:val="00333990"/>
    <w:rsid w:val="00333BC8"/>
    <w:rsid w:val="00333D8A"/>
    <w:rsid w:val="00333F73"/>
    <w:rsid w:val="00334C8A"/>
    <w:rsid w:val="00335578"/>
    <w:rsid w:val="003355B0"/>
    <w:rsid w:val="00335904"/>
    <w:rsid w:val="00335B38"/>
    <w:rsid w:val="00336292"/>
    <w:rsid w:val="00336DCB"/>
    <w:rsid w:val="00336F79"/>
    <w:rsid w:val="0034054A"/>
    <w:rsid w:val="00340AE5"/>
    <w:rsid w:val="00340AED"/>
    <w:rsid w:val="00340BF1"/>
    <w:rsid w:val="00340C7A"/>
    <w:rsid w:val="00341A71"/>
    <w:rsid w:val="003429E2"/>
    <w:rsid w:val="00342A4B"/>
    <w:rsid w:val="00343A56"/>
    <w:rsid w:val="003440C3"/>
    <w:rsid w:val="003442C7"/>
    <w:rsid w:val="0034446E"/>
    <w:rsid w:val="003444BC"/>
    <w:rsid w:val="00344A50"/>
    <w:rsid w:val="00345399"/>
    <w:rsid w:val="003457EC"/>
    <w:rsid w:val="00345907"/>
    <w:rsid w:val="0034600A"/>
    <w:rsid w:val="00346097"/>
    <w:rsid w:val="003460C1"/>
    <w:rsid w:val="00346161"/>
    <w:rsid w:val="003464E9"/>
    <w:rsid w:val="00346841"/>
    <w:rsid w:val="00346BC3"/>
    <w:rsid w:val="00346FF6"/>
    <w:rsid w:val="00347174"/>
    <w:rsid w:val="00347225"/>
    <w:rsid w:val="0034729C"/>
    <w:rsid w:val="00347B3E"/>
    <w:rsid w:val="00347B48"/>
    <w:rsid w:val="00347D32"/>
    <w:rsid w:val="00347F83"/>
    <w:rsid w:val="00347FEA"/>
    <w:rsid w:val="003506F2"/>
    <w:rsid w:val="00350910"/>
    <w:rsid w:val="00350BFC"/>
    <w:rsid w:val="00350FEE"/>
    <w:rsid w:val="0035111C"/>
    <w:rsid w:val="003515F8"/>
    <w:rsid w:val="00351BA4"/>
    <w:rsid w:val="00351D60"/>
    <w:rsid w:val="00352A27"/>
    <w:rsid w:val="0035309A"/>
    <w:rsid w:val="003538B2"/>
    <w:rsid w:val="00353BC6"/>
    <w:rsid w:val="00354797"/>
    <w:rsid w:val="00354820"/>
    <w:rsid w:val="00354928"/>
    <w:rsid w:val="00354EA8"/>
    <w:rsid w:val="00356195"/>
    <w:rsid w:val="00356509"/>
    <w:rsid w:val="003565DB"/>
    <w:rsid w:val="00356BFA"/>
    <w:rsid w:val="00356DB8"/>
    <w:rsid w:val="00356F40"/>
    <w:rsid w:val="00357741"/>
    <w:rsid w:val="00357A86"/>
    <w:rsid w:val="00357B8D"/>
    <w:rsid w:val="003601A6"/>
    <w:rsid w:val="0036057D"/>
    <w:rsid w:val="00360857"/>
    <w:rsid w:val="0036132A"/>
    <w:rsid w:val="00361D8C"/>
    <w:rsid w:val="00361F93"/>
    <w:rsid w:val="0036222E"/>
    <w:rsid w:val="0036240C"/>
    <w:rsid w:val="00362AC6"/>
    <w:rsid w:val="00362C1E"/>
    <w:rsid w:val="003631A6"/>
    <w:rsid w:val="003631DC"/>
    <w:rsid w:val="003636AA"/>
    <w:rsid w:val="00363CD9"/>
    <w:rsid w:val="00364909"/>
    <w:rsid w:val="003649AD"/>
    <w:rsid w:val="0036500C"/>
    <w:rsid w:val="0036597E"/>
    <w:rsid w:val="00365AE6"/>
    <w:rsid w:val="00366154"/>
    <w:rsid w:val="003662FB"/>
    <w:rsid w:val="003678E3"/>
    <w:rsid w:val="003716F6"/>
    <w:rsid w:val="003717BF"/>
    <w:rsid w:val="00371DD7"/>
    <w:rsid w:val="003723D0"/>
    <w:rsid w:val="00372EBF"/>
    <w:rsid w:val="00372ED4"/>
    <w:rsid w:val="00373093"/>
    <w:rsid w:val="003731DA"/>
    <w:rsid w:val="003734A5"/>
    <w:rsid w:val="00373AC7"/>
    <w:rsid w:val="00373FB5"/>
    <w:rsid w:val="0037432E"/>
    <w:rsid w:val="00374ADB"/>
    <w:rsid w:val="00374B23"/>
    <w:rsid w:val="00375395"/>
    <w:rsid w:val="00375585"/>
    <w:rsid w:val="0037595D"/>
    <w:rsid w:val="00375E8E"/>
    <w:rsid w:val="00376375"/>
    <w:rsid w:val="0037683D"/>
    <w:rsid w:val="00376A8C"/>
    <w:rsid w:val="003779E6"/>
    <w:rsid w:val="00377A8B"/>
    <w:rsid w:val="00377E72"/>
    <w:rsid w:val="00377EFB"/>
    <w:rsid w:val="003808CA"/>
    <w:rsid w:val="00380BDD"/>
    <w:rsid w:val="00381362"/>
    <w:rsid w:val="003817B8"/>
    <w:rsid w:val="003829EF"/>
    <w:rsid w:val="0038352D"/>
    <w:rsid w:val="003839A0"/>
    <w:rsid w:val="0038441A"/>
    <w:rsid w:val="003847BB"/>
    <w:rsid w:val="003849A5"/>
    <w:rsid w:val="00384B8F"/>
    <w:rsid w:val="0038575D"/>
    <w:rsid w:val="00385AAC"/>
    <w:rsid w:val="0038644E"/>
    <w:rsid w:val="0038673D"/>
    <w:rsid w:val="003868BA"/>
    <w:rsid w:val="00387427"/>
    <w:rsid w:val="00387A2B"/>
    <w:rsid w:val="00387BC9"/>
    <w:rsid w:val="0039014F"/>
    <w:rsid w:val="00390511"/>
    <w:rsid w:val="0039060A"/>
    <w:rsid w:val="00390BE6"/>
    <w:rsid w:val="00390D3F"/>
    <w:rsid w:val="00390E19"/>
    <w:rsid w:val="00392812"/>
    <w:rsid w:val="00392CE9"/>
    <w:rsid w:val="00393344"/>
    <w:rsid w:val="00393456"/>
    <w:rsid w:val="003940CD"/>
    <w:rsid w:val="0039480B"/>
    <w:rsid w:val="00394A16"/>
    <w:rsid w:val="00395604"/>
    <w:rsid w:val="00396811"/>
    <w:rsid w:val="0039694D"/>
    <w:rsid w:val="00396D34"/>
    <w:rsid w:val="0039712F"/>
    <w:rsid w:val="00397624"/>
    <w:rsid w:val="003A01BD"/>
    <w:rsid w:val="003A0403"/>
    <w:rsid w:val="003A046B"/>
    <w:rsid w:val="003A0581"/>
    <w:rsid w:val="003A0965"/>
    <w:rsid w:val="003A0A51"/>
    <w:rsid w:val="003A0C92"/>
    <w:rsid w:val="003A102F"/>
    <w:rsid w:val="003A1B80"/>
    <w:rsid w:val="003A1E07"/>
    <w:rsid w:val="003A20AC"/>
    <w:rsid w:val="003A252F"/>
    <w:rsid w:val="003A2B62"/>
    <w:rsid w:val="003A4012"/>
    <w:rsid w:val="003A439B"/>
    <w:rsid w:val="003A4557"/>
    <w:rsid w:val="003A45A2"/>
    <w:rsid w:val="003A4CB7"/>
    <w:rsid w:val="003A5412"/>
    <w:rsid w:val="003A54F6"/>
    <w:rsid w:val="003A5A0B"/>
    <w:rsid w:val="003A5B5B"/>
    <w:rsid w:val="003A5FB3"/>
    <w:rsid w:val="003A628A"/>
    <w:rsid w:val="003A7043"/>
    <w:rsid w:val="003A74F4"/>
    <w:rsid w:val="003A77E3"/>
    <w:rsid w:val="003A7837"/>
    <w:rsid w:val="003A7D33"/>
    <w:rsid w:val="003A7F4D"/>
    <w:rsid w:val="003B02AB"/>
    <w:rsid w:val="003B0575"/>
    <w:rsid w:val="003B0799"/>
    <w:rsid w:val="003B11F7"/>
    <w:rsid w:val="003B15C9"/>
    <w:rsid w:val="003B1ABD"/>
    <w:rsid w:val="003B1E13"/>
    <w:rsid w:val="003B29F8"/>
    <w:rsid w:val="003B2EF8"/>
    <w:rsid w:val="003B30DD"/>
    <w:rsid w:val="003B311A"/>
    <w:rsid w:val="003B32C8"/>
    <w:rsid w:val="003B3C49"/>
    <w:rsid w:val="003B3DF9"/>
    <w:rsid w:val="003B48B4"/>
    <w:rsid w:val="003B5014"/>
    <w:rsid w:val="003B520A"/>
    <w:rsid w:val="003B5861"/>
    <w:rsid w:val="003B5C46"/>
    <w:rsid w:val="003B5CA3"/>
    <w:rsid w:val="003B679C"/>
    <w:rsid w:val="003B687E"/>
    <w:rsid w:val="003B6CA9"/>
    <w:rsid w:val="003B7195"/>
    <w:rsid w:val="003B73B8"/>
    <w:rsid w:val="003B74E6"/>
    <w:rsid w:val="003B779A"/>
    <w:rsid w:val="003B780F"/>
    <w:rsid w:val="003B7A8C"/>
    <w:rsid w:val="003B7FC6"/>
    <w:rsid w:val="003C0502"/>
    <w:rsid w:val="003C0E47"/>
    <w:rsid w:val="003C1D33"/>
    <w:rsid w:val="003C209B"/>
    <w:rsid w:val="003C3192"/>
    <w:rsid w:val="003C339E"/>
    <w:rsid w:val="003C4D73"/>
    <w:rsid w:val="003C53C9"/>
    <w:rsid w:val="003C5750"/>
    <w:rsid w:val="003C57C7"/>
    <w:rsid w:val="003C5AD2"/>
    <w:rsid w:val="003C611D"/>
    <w:rsid w:val="003C6640"/>
    <w:rsid w:val="003C6B63"/>
    <w:rsid w:val="003C6D07"/>
    <w:rsid w:val="003C6DD7"/>
    <w:rsid w:val="003C7315"/>
    <w:rsid w:val="003C77B8"/>
    <w:rsid w:val="003C789A"/>
    <w:rsid w:val="003C7F40"/>
    <w:rsid w:val="003D032E"/>
    <w:rsid w:val="003D05E1"/>
    <w:rsid w:val="003D0745"/>
    <w:rsid w:val="003D0987"/>
    <w:rsid w:val="003D0AF8"/>
    <w:rsid w:val="003D0DBD"/>
    <w:rsid w:val="003D0F3C"/>
    <w:rsid w:val="003D0F84"/>
    <w:rsid w:val="003D102E"/>
    <w:rsid w:val="003D1385"/>
    <w:rsid w:val="003D1511"/>
    <w:rsid w:val="003D159D"/>
    <w:rsid w:val="003D1B74"/>
    <w:rsid w:val="003D2289"/>
    <w:rsid w:val="003D28B9"/>
    <w:rsid w:val="003D3149"/>
    <w:rsid w:val="003D3A53"/>
    <w:rsid w:val="003D3C19"/>
    <w:rsid w:val="003D46ED"/>
    <w:rsid w:val="003D4C4D"/>
    <w:rsid w:val="003D4CB8"/>
    <w:rsid w:val="003D535E"/>
    <w:rsid w:val="003D5B43"/>
    <w:rsid w:val="003D5BEA"/>
    <w:rsid w:val="003D5FCB"/>
    <w:rsid w:val="003D6A1B"/>
    <w:rsid w:val="003D6CA6"/>
    <w:rsid w:val="003D6FCB"/>
    <w:rsid w:val="003E00AF"/>
    <w:rsid w:val="003E036F"/>
    <w:rsid w:val="003E095E"/>
    <w:rsid w:val="003E16C7"/>
    <w:rsid w:val="003E1AAC"/>
    <w:rsid w:val="003E1B58"/>
    <w:rsid w:val="003E2B63"/>
    <w:rsid w:val="003E3131"/>
    <w:rsid w:val="003E3187"/>
    <w:rsid w:val="003E3A15"/>
    <w:rsid w:val="003E4762"/>
    <w:rsid w:val="003E4833"/>
    <w:rsid w:val="003E48E4"/>
    <w:rsid w:val="003E4B4F"/>
    <w:rsid w:val="003E4F29"/>
    <w:rsid w:val="003E528D"/>
    <w:rsid w:val="003E5B30"/>
    <w:rsid w:val="003E60C4"/>
    <w:rsid w:val="003E652C"/>
    <w:rsid w:val="003E682F"/>
    <w:rsid w:val="003E6920"/>
    <w:rsid w:val="003E6CD8"/>
    <w:rsid w:val="003E6EFF"/>
    <w:rsid w:val="003E6F85"/>
    <w:rsid w:val="003E79F5"/>
    <w:rsid w:val="003F032E"/>
    <w:rsid w:val="003F0A2F"/>
    <w:rsid w:val="003F0E38"/>
    <w:rsid w:val="003F1615"/>
    <w:rsid w:val="003F18D7"/>
    <w:rsid w:val="003F2867"/>
    <w:rsid w:val="003F356B"/>
    <w:rsid w:val="003F3B06"/>
    <w:rsid w:val="003F4220"/>
    <w:rsid w:val="003F4305"/>
    <w:rsid w:val="003F4820"/>
    <w:rsid w:val="003F49B6"/>
    <w:rsid w:val="003F4C1A"/>
    <w:rsid w:val="003F4D1A"/>
    <w:rsid w:val="003F5280"/>
    <w:rsid w:val="003F544B"/>
    <w:rsid w:val="003F5802"/>
    <w:rsid w:val="003F580C"/>
    <w:rsid w:val="003F6255"/>
    <w:rsid w:val="003F65A3"/>
    <w:rsid w:val="003F6669"/>
    <w:rsid w:val="003F6776"/>
    <w:rsid w:val="003F6D82"/>
    <w:rsid w:val="003F77D5"/>
    <w:rsid w:val="003F7C26"/>
    <w:rsid w:val="0040066C"/>
    <w:rsid w:val="004013B0"/>
    <w:rsid w:val="00402B48"/>
    <w:rsid w:val="00402D32"/>
    <w:rsid w:val="00402F48"/>
    <w:rsid w:val="00403368"/>
    <w:rsid w:val="00403485"/>
    <w:rsid w:val="004034AF"/>
    <w:rsid w:val="004036CB"/>
    <w:rsid w:val="00403F9A"/>
    <w:rsid w:val="0040417F"/>
    <w:rsid w:val="004047CE"/>
    <w:rsid w:val="00404D51"/>
    <w:rsid w:val="00404DEF"/>
    <w:rsid w:val="004055EC"/>
    <w:rsid w:val="00405BE3"/>
    <w:rsid w:val="00406371"/>
    <w:rsid w:val="00406B15"/>
    <w:rsid w:val="00407334"/>
    <w:rsid w:val="00407992"/>
    <w:rsid w:val="00407CFB"/>
    <w:rsid w:val="00407ECF"/>
    <w:rsid w:val="0041008D"/>
    <w:rsid w:val="0041090E"/>
    <w:rsid w:val="0041091C"/>
    <w:rsid w:val="00411080"/>
    <w:rsid w:val="0041180F"/>
    <w:rsid w:val="004118D9"/>
    <w:rsid w:val="004118F9"/>
    <w:rsid w:val="00412144"/>
    <w:rsid w:val="00412978"/>
    <w:rsid w:val="00412DF8"/>
    <w:rsid w:val="00412E10"/>
    <w:rsid w:val="00413E6C"/>
    <w:rsid w:val="004146B4"/>
    <w:rsid w:val="00414B3E"/>
    <w:rsid w:val="00414E9E"/>
    <w:rsid w:val="004152A7"/>
    <w:rsid w:val="004152C7"/>
    <w:rsid w:val="00415530"/>
    <w:rsid w:val="00415EA6"/>
    <w:rsid w:val="00415FD8"/>
    <w:rsid w:val="004160BA"/>
    <w:rsid w:val="00416456"/>
    <w:rsid w:val="004164AA"/>
    <w:rsid w:val="004174BF"/>
    <w:rsid w:val="004176CF"/>
    <w:rsid w:val="0041772B"/>
    <w:rsid w:val="00420F54"/>
    <w:rsid w:val="00421048"/>
    <w:rsid w:val="0042138E"/>
    <w:rsid w:val="00421646"/>
    <w:rsid w:val="004220D9"/>
    <w:rsid w:val="004220FC"/>
    <w:rsid w:val="00422343"/>
    <w:rsid w:val="004227E5"/>
    <w:rsid w:val="0042385D"/>
    <w:rsid w:val="00423CCE"/>
    <w:rsid w:val="0042460E"/>
    <w:rsid w:val="0042468B"/>
    <w:rsid w:val="0042484C"/>
    <w:rsid w:val="00424E9F"/>
    <w:rsid w:val="00424FC1"/>
    <w:rsid w:val="004250A6"/>
    <w:rsid w:val="0042520D"/>
    <w:rsid w:val="00425608"/>
    <w:rsid w:val="00425B11"/>
    <w:rsid w:val="0042667B"/>
    <w:rsid w:val="00426FD0"/>
    <w:rsid w:val="00427206"/>
    <w:rsid w:val="004279B0"/>
    <w:rsid w:val="004302FF"/>
    <w:rsid w:val="004305F5"/>
    <w:rsid w:val="004308D2"/>
    <w:rsid w:val="00430D99"/>
    <w:rsid w:val="00430DDD"/>
    <w:rsid w:val="00430E04"/>
    <w:rsid w:val="00431506"/>
    <w:rsid w:val="00431ACD"/>
    <w:rsid w:val="004322CF"/>
    <w:rsid w:val="004328D8"/>
    <w:rsid w:val="00432C86"/>
    <w:rsid w:val="00432FC6"/>
    <w:rsid w:val="0043378C"/>
    <w:rsid w:val="004337DC"/>
    <w:rsid w:val="00433853"/>
    <w:rsid w:val="004348BF"/>
    <w:rsid w:val="004352D6"/>
    <w:rsid w:val="004352DA"/>
    <w:rsid w:val="00435A55"/>
    <w:rsid w:val="004363B8"/>
    <w:rsid w:val="004366C2"/>
    <w:rsid w:val="004372A6"/>
    <w:rsid w:val="004374AD"/>
    <w:rsid w:val="0043782F"/>
    <w:rsid w:val="00437CAA"/>
    <w:rsid w:val="004400DE"/>
    <w:rsid w:val="004401BB"/>
    <w:rsid w:val="004406E2"/>
    <w:rsid w:val="0044118C"/>
    <w:rsid w:val="00441465"/>
    <w:rsid w:val="0044175A"/>
    <w:rsid w:val="00441925"/>
    <w:rsid w:val="00441D66"/>
    <w:rsid w:val="0044235A"/>
    <w:rsid w:val="00442F56"/>
    <w:rsid w:val="00443046"/>
    <w:rsid w:val="00443691"/>
    <w:rsid w:val="00444915"/>
    <w:rsid w:val="00444DED"/>
    <w:rsid w:val="0044528F"/>
    <w:rsid w:val="00446AAD"/>
    <w:rsid w:val="00446E2E"/>
    <w:rsid w:val="00447457"/>
    <w:rsid w:val="00447C17"/>
    <w:rsid w:val="00447CAC"/>
    <w:rsid w:val="00450D56"/>
    <w:rsid w:val="00450DE3"/>
    <w:rsid w:val="0045196F"/>
    <w:rsid w:val="00452030"/>
    <w:rsid w:val="0045242B"/>
    <w:rsid w:val="00452BF5"/>
    <w:rsid w:val="00453200"/>
    <w:rsid w:val="0045392C"/>
    <w:rsid w:val="0045471A"/>
    <w:rsid w:val="00455125"/>
    <w:rsid w:val="004551D9"/>
    <w:rsid w:val="00455AFD"/>
    <w:rsid w:val="0045659E"/>
    <w:rsid w:val="00456BE7"/>
    <w:rsid w:val="00456BF0"/>
    <w:rsid w:val="00456CF0"/>
    <w:rsid w:val="004575D5"/>
    <w:rsid w:val="00457898"/>
    <w:rsid w:val="00457C00"/>
    <w:rsid w:val="00457CA5"/>
    <w:rsid w:val="004605E1"/>
    <w:rsid w:val="00460623"/>
    <w:rsid w:val="00460F37"/>
    <w:rsid w:val="0046131C"/>
    <w:rsid w:val="004615CE"/>
    <w:rsid w:val="004619FB"/>
    <w:rsid w:val="0046236F"/>
    <w:rsid w:val="00462A65"/>
    <w:rsid w:val="00462DE3"/>
    <w:rsid w:val="0046338E"/>
    <w:rsid w:val="0046348B"/>
    <w:rsid w:val="0046412A"/>
    <w:rsid w:val="00464130"/>
    <w:rsid w:val="00464490"/>
    <w:rsid w:val="004648F8"/>
    <w:rsid w:val="00464D4A"/>
    <w:rsid w:val="00465089"/>
    <w:rsid w:val="00465A8F"/>
    <w:rsid w:val="00466458"/>
    <w:rsid w:val="00466825"/>
    <w:rsid w:val="0046712E"/>
    <w:rsid w:val="00467D97"/>
    <w:rsid w:val="00467EA6"/>
    <w:rsid w:val="00467EC4"/>
    <w:rsid w:val="00470609"/>
    <w:rsid w:val="00470A3D"/>
    <w:rsid w:val="00471666"/>
    <w:rsid w:val="004716C0"/>
    <w:rsid w:val="0047174F"/>
    <w:rsid w:val="00471957"/>
    <w:rsid w:val="004726E0"/>
    <w:rsid w:val="00472871"/>
    <w:rsid w:val="00472CFF"/>
    <w:rsid w:val="00473339"/>
    <w:rsid w:val="00473399"/>
    <w:rsid w:val="00473EED"/>
    <w:rsid w:val="0047415C"/>
    <w:rsid w:val="0047415D"/>
    <w:rsid w:val="00474D6E"/>
    <w:rsid w:val="00474E48"/>
    <w:rsid w:val="0047535A"/>
    <w:rsid w:val="004753FF"/>
    <w:rsid w:val="004759FD"/>
    <w:rsid w:val="00475B61"/>
    <w:rsid w:val="00475E99"/>
    <w:rsid w:val="004765C2"/>
    <w:rsid w:val="00477276"/>
    <w:rsid w:val="004774E8"/>
    <w:rsid w:val="00477F5D"/>
    <w:rsid w:val="0048016E"/>
    <w:rsid w:val="00481130"/>
    <w:rsid w:val="00481C68"/>
    <w:rsid w:val="00482322"/>
    <w:rsid w:val="004826A7"/>
    <w:rsid w:val="004829A4"/>
    <w:rsid w:val="004833D4"/>
    <w:rsid w:val="004842E8"/>
    <w:rsid w:val="00484FCE"/>
    <w:rsid w:val="0048519C"/>
    <w:rsid w:val="004857B1"/>
    <w:rsid w:val="00485E05"/>
    <w:rsid w:val="00485F4E"/>
    <w:rsid w:val="00486B09"/>
    <w:rsid w:val="004874A1"/>
    <w:rsid w:val="0048785A"/>
    <w:rsid w:val="00487C09"/>
    <w:rsid w:val="0049110F"/>
    <w:rsid w:val="00492002"/>
    <w:rsid w:val="004923B1"/>
    <w:rsid w:val="00492575"/>
    <w:rsid w:val="0049294C"/>
    <w:rsid w:val="0049295C"/>
    <w:rsid w:val="00492B33"/>
    <w:rsid w:val="00492BFD"/>
    <w:rsid w:val="00492D7D"/>
    <w:rsid w:val="00493DA7"/>
    <w:rsid w:val="00494392"/>
    <w:rsid w:val="00494D2B"/>
    <w:rsid w:val="0049572A"/>
    <w:rsid w:val="00497CB2"/>
    <w:rsid w:val="00497CC8"/>
    <w:rsid w:val="004A01A7"/>
    <w:rsid w:val="004A04AE"/>
    <w:rsid w:val="004A04DE"/>
    <w:rsid w:val="004A1122"/>
    <w:rsid w:val="004A1398"/>
    <w:rsid w:val="004A13F6"/>
    <w:rsid w:val="004A1832"/>
    <w:rsid w:val="004A1A9E"/>
    <w:rsid w:val="004A1ADE"/>
    <w:rsid w:val="004A2321"/>
    <w:rsid w:val="004A2711"/>
    <w:rsid w:val="004A2F01"/>
    <w:rsid w:val="004A33B2"/>
    <w:rsid w:val="004A3AF1"/>
    <w:rsid w:val="004A3F6E"/>
    <w:rsid w:val="004A4426"/>
    <w:rsid w:val="004A4483"/>
    <w:rsid w:val="004A49E9"/>
    <w:rsid w:val="004A6039"/>
    <w:rsid w:val="004A65C9"/>
    <w:rsid w:val="004A6864"/>
    <w:rsid w:val="004A6FB8"/>
    <w:rsid w:val="004A705E"/>
    <w:rsid w:val="004A70A4"/>
    <w:rsid w:val="004A7727"/>
    <w:rsid w:val="004A77C5"/>
    <w:rsid w:val="004A7D96"/>
    <w:rsid w:val="004B187A"/>
    <w:rsid w:val="004B1C84"/>
    <w:rsid w:val="004B1D93"/>
    <w:rsid w:val="004B1F62"/>
    <w:rsid w:val="004B1FC0"/>
    <w:rsid w:val="004B2268"/>
    <w:rsid w:val="004B252E"/>
    <w:rsid w:val="004B287C"/>
    <w:rsid w:val="004B3AEA"/>
    <w:rsid w:val="004B3DA8"/>
    <w:rsid w:val="004B40DE"/>
    <w:rsid w:val="004B4955"/>
    <w:rsid w:val="004B4C29"/>
    <w:rsid w:val="004B6DC7"/>
    <w:rsid w:val="004B7408"/>
    <w:rsid w:val="004B7EB8"/>
    <w:rsid w:val="004C0119"/>
    <w:rsid w:val="004C0553"/>
    <w:rsid w:val="004C0B70"/>
    <w:rsid w:val="004C134A"/>
    <w:rsid w:val="004C1382"/>
    <w:rsid w:val="004C19CA"/>
    <w:rsid w:val="004C19F6"/>
    <w:rsid w:val="004C1DF5"/>
    <w:rsid w:val="004C23E8"/>
    <w:rsid w:val="004C2FBF"/>
    <w:rsid w:val="004C3042"/>
    <w:rsid w:val="004C323E"/>
    <w:rsid w:val="004C3495"/>
    <w:rsid w:val="004C4033"/>
    <w:rsid w:val="004C44BC"/>
    <w:rsid w:val="004C4913"/>
    <w:rsid w:val="004C49FC"/>
    <w:rsid w:val="004C4AE2"/>
    <w:rsid w:val="004C586D"/>
    <w:rsid w:val="004C6185"/>
    <w:rsid w:val="004C6527"/>
    <w:rsid w:val="004C6CEB"/>
    <w:rsid w:val="004C6FA3"/>
    <w:rsid w:val="004C708D"/>
    <w:rsid w:val="004C7133"/>
    <w:rsid w:val="004C72D8"/>
    <w:rsid w:val="004C75BA"/>
    <w:rsid w:val="004C787B"/>
    <w:rsid w:val="004D0658"/>
    <w:rsid w:val="004D1C11"/>
    <w:rsid w:val="004D24B3"/>
    <w:rsid w:val="004D25A6"/>
    <w:rsid w:val="004D3A61"/>
    <w:rsid w:val="004D3ADB"/>
    <w:rsid w:val="004D4BEC"/>
    <w:rsid w:val="004D573A"/>
    <w:rsid w:val="004D57FE"/>
    <w:rsid w:val="004D5BDA"/>
    <w:rsid w:val="004D6555"/>
    <w:rsid w:val="004D6767"/>
    <w:rsid w:val="004D6F0D"/>
    <w:rsid w:val="004D7028"/>
    <w:rsid w:val="004D7139"/>
    <w:rsid w:val="004D76CE"/>
    <w:rsid w:val="004D7BAE"/>
    <w:rsid w:val="004D7FCC"/>
    <w:rsid w:val="004E023B"/>
    <w:rsid w:val="004E1558"/>
    <w:rsid w:val="004E184A"/>
    <w:rsid w:val="004E1DD8"/>
    <w:rsid w:val="004E286F"/>
    <w:rsid w:val="004E2B0A"/>
    <w:rsid w:val="004E2C01"/>
    <w:rsid w:val="004E3466"/>
    <w:rsid w:val="004E3687"/>
    <w:rsid w:val="004E3D85"/>
    <w:rsid w:val="004E3E0C"/>
    <w:rsid w:val="004E4139"/>
    <w:rsid w:val="004E43C8"/>
    <w:rsid w:val="004E4546"/>
    <w:rsid w:val="004E454B"/>
    <w:rsid w:val="004E47A7"/>
    <w:rsid w:val="004E4BD1"/>
    <w:rsid w:val="004E5373"/>
    <w:rsid w:val="004E553B"/>
    <w:rsid w:val="004E569B"/>
    <w:rsid w:val="004E5A64"/>
    <w:rsid w:val="004E608A"/>
    <w:rsid w:val="004E71CA"/>
    <w:rsid w:val="004E7378"/>
    <w:rsid w:val="004E7B67"/>
    <w:rsid w:val="004F0C2F"/>
    <w:rsid w:val="004F0CDC"/>
    <w:rsid w:val="004F13FA"/>
    <w:rsid w:val="004F1EFB"/>
    <w:rsid w:val="004F1FF7"/>
    <w:rsid w:val="004F2116"/>
    <w:rsid w:val="004F3BCC"/>
    <w:rsid w:val="004F3C6C"/>
    <w:rsid w:val="004F41DA"/>
    <w:rsid w:val="004F4ACD"/>
    <w:rsid w:val="004F4BC6"/>
    <w:rsid w:val="004F592C"/>
    <w:rsid w:val="004F59C6"/>
    <w:rsid w:val="004F63DD"/>
    <w:rsid w:val="004F6B35"/>
    <w:rsid w:val="004F6FD0"/>
    <w:rsid w:val="004F719E"/>
    <w:rsid w:val="004F772B"/>
    <w:rsid w:val="004F788F"/>
    <w:rsid w:val="004F78CD"/>
    <w:rsid w:val="005001E7"/>
    <w:rsid w:val="005005A3"/>
    <w:rsid w:val="00500AC6"/>
    <w:rsid w:val="00500BE4"/>
    <w:rsid w:val="00500D3D"/>
    <w:rsid w:val="00503174"/>
    <w:rsid w:val="005034C2"/>
    <w:rsid w:val="00503845"/>
    <w:rsid w:val="00503CB2"/>
    <w:rsid w:val="0050459C"/>
    <w:rsid w:val="005047F9"/>
    <w:rsid w:val="00504C6D"/>
    <w:rsid w:val="00504DDD"/>
    <w:rsid w:val="005056E7"/>
    <w:rsid w:val="0050590D"/>
    <w:rsid w:val="00505CDB"/>
    <w:rsid w:val="00506078"/>
    <w:rsid w:val="00507C89"/>
    <w:rsid w:val="00510752"/>
    <w:rsid w:val="005116C5"/>
    <w:rsid w:val="00511B7F"/>
    <w:rsid w:val="005129DA"/>
    <w:rsid w:val="00512BF9"/>
    <w:rsid w:val="005132F2"/>
    <w:rsid w:val="0051404C"/>
    <w:rsid w:val="0051408B"/>
    <w:rsid w:val="005142A5"/>
    <w:rsid w:val="005144FB"/>
    <w:rsid w:val="00514A66"/>
    <w:rsid w:val="00514D27"/>
    <w:rsid w:val="00514DB3"/>
    <w:rsid w:val="00514E16"/>
    <w:rsid w:val="005150D0"/>
    <w:rsid w:val="0051520E"/>
    <w:rsid w:val="00515397"/>
    <w:rsid w:val="0051581A"/>
    <w:rsid w:val="0051586F"/>
    <w:rsid w:val="0051638E"/>
    <w:rsid w:val="0051656F"/>
    <w:rsid w:val="00516BF7"/>
    <w:rsid w:val="00516FA7"/>
    <w:rsid w:val="005171E0"/>
    <w:rsid w:val="00517281"/>
    <w:rsid w:val="005176A6"/>
    <w:rsid w:val="00517E29"/>
    <w:rsid w:val="00520127"/>
    <w:rsid w:val="00520D91"/>
    <w:rsid w:val="00521106"/>
    <w:rsid w:val="00521528"/>
    <w:rsid w:val="0052183F"/>
    <w:rsid w:val="0052217C"/>
    <w:rsid w:val="00522377"/>
    <w:rsid w:val="0052302B"/>
    <w:rsid w:val="005230A1"/>
    <w:rsid w:val="0052318C"/>
    <w:rsid w:val="00523921"/>
    <w:rsid w:val="00523D8B"/>
    <w:rsid w:val="00523E8E"/>
    <w:rsid w:val="00524227"/>
    <w:rsid w:val="005253CD"/>
    <w:rsid w:val="00525452"/>
    <w:rsid w:val="00525D9E"/>
    <w:rsid w:val="00525F6C"/>
    <w:rsid w:val="00527460"/>
    <w:rsid w:val="00527646"/>
    <w:rsid w:val="00527834"/>
    <w:rsid w:val="00527C8E"/>
    <w:rsid w:val="00527FEA"/>
    <w:rsid w:val="0053122F"/>
    <w:rsid w:val="0053140A"/>
    <w:rsid w:val="0053165B"/>
    <w:rsid w:val="00531723"/>
    <w:rsid w:val="00531D40"/>
    <w:rsid w:val="00532178"/>
    <w:rsid w:val="00532201"/>
    <w:rsid w:val="00532BA6"/>
    <w:rsid w:val="00532F08"/>
    <w:rsid w:val="00533C6D"/>
    <w:rsid w:val="00533DB5"/>
    <w:rsid w:val="00533DC0"/>
    <w:rsid w:val="00533E67"/>
    <w:rsid w:val="00533F20"/>
    <w:rsid w:val="005347FA"/>
    <w:rsid w:val="00534EDF"/>
    <w:rsid w:val="0053542B"/>
    <w:rsid w:val="00535880"/>
    <w:rsid w:val="00535F94"/>
    <w:rsid w:val="00536259"/>
    <w:rsid w:val="00537074"/>
    <w:rsid w:val="00537234"/>
    <w:rsid w:val="00537E24"/>
    <w:rsid w:val="00537EA9"/>
    <w:rsid w:val="00540608"/>
    <w:rsid w:val="005408BE"/>
    <w:rsid w:val="00540D70"/>
    <w:rsid w:val="00541A03"/>
    <w:rsid w:val="00541CDA"/>
    <w:rsid w:val="005423D2"/>
    <w:rsid w:val="0054253D"/>
    <w:rsid w:val="00542958"/>
    <w:rsid w:val="00542F99"/>
    <w:rsid w:val="00543896"/>
    <w:rsid w:val="00543B39"/>
    <w:rsid w:val="00543E2E"/>
    <w:rsid w:val="0054404A"/>
    <w:rsid w:val="0054471A"/>
    <w:rsid w:val="00544B54"/>
    <w:rsid w:val="00545487"/>
    <w:rsid w:val="00545747"/>
    <w:rsid w:val="005457E0"/>
    <w:rsid w:val="00545CDA"/>
    <w:rsid w:val="00546257"/>
    <w:rsid w:val="00546949"/>
    <w:rsid w:val="00546A8C"/>
    <w:rsid w:val="00546B24"/>
    <w:rsid w:val="0054727B"/>
    <w:rsid w:val="0054752A"/>
    <w:rsid w:val="00547550"/>
    <w:rsid w:val="00547671"/>
    <w:rsid w:val="00547805"/>
    <w:rsid w:val="00547A06"/>
    <w:rsid w:val="00547E71"/>
    <w:rsid w:val="0055060E"/>
    <w:rsid w:val="00550988"/>
    <w:rsid w:val="00550EED"/>
    <w:rsid w:val="0055131A"/>
    <w:rsid w:val="00551DE9"/>
    <w:rsid w:val="005520A5"/>
    <w:rsid w:val="00552382"/>
    <w:rsid w:val="00552470"/>
    <w:rsid w:val="00553662"/>
    <w:rsid w:val="00554569"/>
    <w:rsid w:val="005547B4"/>
    <w:rsid w:val="00554E8E"/>
    <w:rsid w:val="00555326"/>
    <w:rsid w:val="0055630A"/>
    <w:rsid w:val="005564E1"/>
    <w:rsid w:val="00556C7C"/>
    <w:rsid w:val="00556FD4"/>
    <w:rsid w:val="0055732B"/>
    <w:rsid w:val="0055748A"/>
    <w:rsid w:val="00557723"/>
    <w:rsid w:val="00557C84"/>
    <w:rsid w:val="00560441"/>
    <w:rsid w:val="00560BC0"/>
    <w:rsid w:val="0056130D"/>
    <w:rsid w:val="005614D2"/>
    <w:rsid w:val="00561A64"/>
    <w:rsid w:val="0056246F"/>
    <w:rsid w:val="0056284B"/>
    <w:rsid w:val="005629AF"/>
    <w:rsid w:val="00562FEC"/>
    <w:rsid w:val="00563795"/>
    <w:rsid w:val="00564499"/>
    <w:rsid w:val="00564A0D"/>
    <w:rsid w:val="00564D7A"/>
    <w:rsid w:val="005653A5"/>
    <w:rsid w:val="00565554"/>
    <w:rsid w:val="0056570A"/>
    <w:rsid w:val="00566180"/>
    <w:rsid w:val="0056667D"/>
    <w:rsid w:val="005667B4"/>
    <w:rsid w:val="0056776B"/>
    <w:rsid w:val="00567941"/>
    <w:rsid w:val="00567A0C"/>
    <w:rsid w:val="0057063A"/>
    <w:rsid w:val="0057076A"/>
    <w:rsid w:val="00570872"/>
    <w:rsid w:val="00571861"/>
    <w:rsid w:val="005718A8"/>
    <w:rsid w:val="00571A39"/>
    <w:rsid w:val="005720DC"/>
    <w:rsid w:val="00572A3F"/>
    <w:rsid w:val="00572E5C"/>
    <w:rsid w:val="00572EDC"/>
    <w:rsid w:val="00573424"/>
    <w:rsid w:val="00573441"/>
    <w:rsid w:val="005736BE"/>
    <w:rsid w:val="00573C2F"/>
    <w:rsid w:val="00573DB5"/>
    <w:rsid w:val="00573FB1"/>
    <w:rsid w:val="0057425E"/>
    <w:rsid w:val="00574443"/>
    <w:rsid w:val="00574493"/>
    <w:rsid w:val="005744CA"/>
    <w:rsid w:val="00575B4B"/>
    <w:rsid w:val="0057628F"/>
    <w:rsid w:val="00576748"/>
    <w:rsid w:val="00576A9A"/>
    <w:rsid w:val="00577471"/>
    <w:rsid w:val="005774BC"/>
    <w:rsid w:val="005805CE"/>
    <w:rsid w:val="0058099C"/>
    <w:rsid w:val="00580D60"/>
    <w:rsid w:val="00580E41"/>
    <w:rsid w:val="00580F41"/>
    <w:rsid w:val="00581304"/>
    <w:rsid w:val="00581CF5"/>
    <w:rsid w:val="0058221F"/>
    <w:rsid w:val="00582D1F"/>
    <w:rsid w:val="00583CDD"/>
    <w:rsid w:val="005841DE"/>
    <w:rsid w:val="00585228"/>
    <w:rsid w:val="00585674"/>
    <w:rsid w:val="00585A30"/>
    <w:rsid w:val="00585DC1"/>
    <w:rsid w:val="00585F87"/>
    <w:rsid w:val="005864DE"/>
    <w:rsid w:val="00586C13"/>
    <w:rsid w:val="00586F0E"/>
    <w:rsid w:val="0058716B"/>
    <w:rsid w:val="0058745F"/>
    <w:rsid w:val="00587545"/>
    <w:rsid w:val="00587BFB"/>
    <w:rsid w:val="00587C82"/>
    <w:rsid w:val="005911E9"/>
    <w:rsid w:val="00591296"/>
    <w:rsid w:val="00591559"/>
    <w:rsid w:val="005919AD"/>
    <w:rsid w:val="00591E0E"/>
    <w:rsid w:val="005921D3"/>
    <w:rsid w:val="00592372"/>
    <w:rsid w:val="00593A18"/>
    <w:rsid w:val="00593D10"/>
    <w:rsid w:val="00594181"/>
    <w:rsid w:val="005946E9"/>
    <w:rsid w:val="00594740"/>
    <w:rsid w:val="005951D2"/>
    <w:rsid w:val="005959B1"/>
    <w:rsid w:val="005959F5"/>
    <w:rsid w:val="00595E1F"/>
    <w:rsid w:val="0059624E"/>
    <w:rsid w:val="00596320"/>
    <w:rsid w:val="005967D7"/>
    <w:rsid w:val="005969B9"/>
    <w:rsid w:val="00596F9B"/>
    <w:rsid w:val="005976C3"/>
    <w:rsid w:val="005977C6"/>
    <w:rsid w:val="00597DD7"/>
    <w:rsid w:val="005A0420"/>
    <w:rsid w:val="005A05C7"/>
    <w:rsid w:val="005A09A6"/>
    <w:rsid w:val="005A0D91"/>
    <w:rsid w:val="005A0DD4"/>
    <w:rsid w:val="005A14A3"/>
    <w:rsid w:val="005A15F6"/>
    <w:rsid w:val="005A16C1"/>
    <w:rsid w:val="005A1C43"/>
    <w:rsid w:val="005A1D9C"/>
    <w:rsid w:val="005A1DF1"/>
    <w:rsid w:val="005A2465"/>
    <w:rsid w:val="005A2527"/>
    <w:rsid w:val="005A2629"/>
    <w:rsid w:val="005A2813"/>
    <w:rsid w:val="005A2A54"/>
    <w:rsid w:val="005A3BF6"/>
    <w:rsid w:val="005A3CF1"/>
    <w:rsid w:val="005A3E3F"/>
    <w:rsid w:val="005A5184"/>
    <w:rsid w:val="005A51E3"/>
    <w:rsid w:val="005A7078"/>
    <w:rsid w:val="005A74FA"/>
    <w:rsid w:val="005A7771"/>
    <w:rsid w:val="005A77CB"/>
    <w:rsid w:val="005B0393"/>
    <w:rsid w:val="005B0707"/>
    <w:rsid w:val="005B0FFE"/>
    <w:rsid w:val="005B11AF"/>
    <w:rsid w:val="005B1689"/>
    <w:rsid w:val="005B21CE"/>
    <w:rsid w:val="005B21D4"/>
    <w:rsid w:val="005B2708"/>
    <w:rsid w:val="005B2871"/>
    <w:rsid w:val="005B2CD6"/>
    <w:rsid w:val="005B351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C49"/>
    <w:rsid w:val="005C0CA5"/>
    <w:rsid w:val="005C128D"/>
    <w:rsid w:val="005C1416"/>
    <w:rsid w:val="005C1466"/>
    <w:rsid w:val="005C1A18"/>
    <w:rsid w:val="005C1D31"/>
    <w:rsid w:val="005C1DA9"/>
    <w:rsid w:val="005C1E92"/>
    <w:rsid w:val="005C1F77"/>
    <w:rsid w:val="005C2640"/>
    <w:rsid w:val="005C2817"/>
    <w:rsid w:val="005C2B0E"/>
    <w:rsid w:val="005C30F0"/>
    <w:rsid w:val="005C3391"/>
    <w:rsid w:val="005C3B37"/>
    <w:rsid w:val="005C3E2C"/>
    <w:rsid w:val="005C3F71"/>
    <w:rsid w:val="005C4B53"/>
    <w:rsid w:val="005C4D9B"/>
    <w:rsid w:val="005C540B"/>
    <w:rsid w:val="005C54EC"/>
    <w:rsid w:val="005C55CE"/>
    <w:rsid w:val="005C59C6"/>
    <w:rsid w:val="005C65D9"/>
    <w:rsid w:val="005C6D10"/>
    <w:rsid w:val="005C7099"/>
    <w:rsid w:val="005C735B"/>
    <w:rsid w:val="005C74A9"/>
    <w:rsid w:val="005C7983"/>
    <w:rsid w:val="005D07BC"/>
    <w:rsid w:val="005D07E9"/>
    <w:rsid w:val="005D0D99"/>
    <w:rsid w:val="005D1E94"/>
    <w:rsid w:val="005D2782"/>
    <w:rsid w:val="005D2804"/>
    <w:rsid w:val="005D2D47"/>
    <w:rsid w:val="005D2F31"/>
    <w:rsid w:val="005D2F5D"/>
    <w:rsid w:val="005D34F2"/>
    <w:rsid w:val="005D35D8"/>
    <w:rsid w:val="005D3DAB"/>
    <w:rsid w:val="005D3F48"/>
    <w:rsid w:val="005D430F"/>
    <w:rsid w:val="005D44F0"/>
    <w:rsid w:val="005D4505"/>
    <w:rsid w:val="005D4734"/>
    <w:rsid w:val="005D4BE0"/>
    <w:rsid w:val="005D5692"/>
    <w:rsid w:val="005D5752"/>
    <w:rsid w:val="005D5793"/>
    <w:rsid w:val="005D5B89"/>
    <w:rsid w:val="005D606D"/>
    <w:rsid w:val="005D60ED"/>
    <w:rsid w:val="005D6413"/>
    <w:rsid w:val="005E012B"/>
    <w:rsid w:val="005E1041"/>
    <w:rsid w:val="005E1915"/>
    <w:rsid w:val="005E1E66"/>
    <w:rsid w:val="005E1E76"/>
    <w:rsid w:val="005E25D9"/>
    <w:rsid w:val="005E294E"/>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5DE3"/>
    <w:rsid w:val="005E6094"/>
    <w:rsid w:val="005E63AA"/>
    <w:rsid w:val="005E6478"/>
    <w:rsid w:val="005E6809"/>
    <w:rsid w:val="005E6B1E"/>
    <w:rsid w:val="005E75B2"/>
    <w:rsid w:val="005E7DFB"/>
    <w:rsid w:val="005E7EDD"/>
    <w:rsid w:val="005F0419"/>
    <w:rsid w:val="005F046B"/>
    <w:rsid w:val="005F07D5"/>
    <w:rsid w:val="005F188C"/>
    <w:rsid w:val="005F1911"/>
    <w:rsid w:val="005F1E73"/>
    <w:rsid w:val="005F2C07"/>
    <w:rsid w:val="005F38ED"/>
    <w:rsid w:val="005F3947"/>
    <w:rsid w:val="005F3FF6"/>
    <w:rsid w:val="005F4BF3"/>
    <w:rsid w:val="005F5652"/>
    <w:rsid w:val="005F59B3"/>
    <w:rsid w:val="005F5C95"/>
    <w:rsid w:val="005F6190"/>
    <w:rsid w:val="005F63BD"/>
    <w:rsid w:val="005F769E"/>
    <w:rsid w:val="005F774F"/>
    <w:rsid w:val="00600B6A"/>
    <w:rsid w:val="00600E2C"/>
    <w:rsid w:val="006010AA"/>
    <w:rsid w:val="006025C1"/>
    <w:rsid w:val="00602E4D"/>
    <w:rsid w:val="006038AB"/>
    <w:rsid w:val="00603BA7"/>
    <w:rsid w:val="006042CF"/>
    <w:rsid w:val="00604A62"/>
    <w:rsid w:val="006051D8"/>
    <w:rsid w:val="0060531E"/>
    <w:rsid w:val="006056CE"/>
    <w:rsid w:val="00605B0B"/>
    <w:rsid w:val="00605C4B"/>
    <w:rsid w:val="00605F9A"/>
    <w:rsid w:val="00606A4A"/>
    <w:rsid w:val="00606BCC"/>
    <w:rsid w:val="00606CAC"/>
    <w:rsid w:val="00606CB2"/>
    <w:rsid w:val="00606DB1"/>
    <w:rsid w:val="00607754"/>
    <w:rsid w:val="00610910"/>
    <w:rsid w:val="00611363"/>
    <w:rsid w:val="006118C7"/>
    <w:rsid w:val="00612362"/>
    <w:rsid w:val="006127D4"/>
    <w:rsid w:val="00613BF6"/>
    <w:rsid w:val="00613C01"/>
    <w:rsid w:val="00613C96"/>
    <w:rsid w:val="0061469D"/>
    <w:rsid w:val="006148A3"/>
    <w:rsid w:val="00615A9A"/>
    <w:rsid w:val="0061607C"/>
    <w:rsid w:val="00616499"/>
    <w:rsid w:val="00616B00"/>
    <w:rsid w:val="00616B6C"/>
    <w:rsid w:val="00616B93"/>
    <w:rsid w:val="00617178"/>
    <w:rsid w:val="00617349"/>
    <w:rsid w:val="00617597"/>
    <w:rsid w:val="006175A1"/>
    <w:rsid w:val="00617A1F"/>
    <w:rsid w:val="00617C79"/>
    <w:rsid w:val="00621559"/>
    <w:rsid w:val="00621EAD"/>
    <w:rsid w:val="00622056"/>
    <w:rsid w:val="006223DE"/>
    <w:rsid w:val="00622418"/>
    <w:rsid w:val="006224DA"/>
    <w:rsid w:val="0062317D"/>
    <w:rsid w:val="006232F5"/>
    <w:rsid w:val="006236D4"/>
    <w:rsid w:val="00623BBD"/>
    <w:rsid w:val="00623E13"/>
    <w:rsid w:val="006245F7"/>
    <w:rsid w:val="00624A2A"/>
    <w:rsid w:val="00624AF6"/>
    <w:rsid w:val="00625246"/>
    <w:rsid w:val="006257AA"/>
    <w:rsid w:val="00626E15"/>
    <w:rsid w:val="00627287"/>
    <w:rsid w:val="006278ED"/>
    <w:rsid w:val="006300D7"/>
    <w:rsid w:val="006308BD"/>
    <w:rsid w:val="00630E51"/>
    <w:rsid w:val="0063141A"/>
    <w:rsid w:val="006321A0"/>
    <w:rsid w:val="00632243"/>
    <w:rsid w:val="00632526"/>
    <w:rsid w:val="006325D6"/>
    <w:rsid w:val="00632AA4"/>
    <w:rsid w:val="00632C57"/>
    <w:rsid w:val="0063329E"/>
    <w:rsid w:val="00633706"/>
    <w:rsid w:val="00634088"/>
    <w:rsid w:val="0063465E"/>
    <w:rsid w:val="006346CF"/>
    <w:rsid w:val="00634ED7"/>
    <w:rsid w:val="006351F3"/>
    <w:rsid w:val="006351FF"/>
    <w:rsid w:val="00636498"/>
    <w:rsid w:val="006364E7"/>
    <w:rsid w:val="00636D50"/>
    <w:rsid w:val="00637221"/>
    <w:rsid w:val="00637550"/>
    <w:rsid w:val="006377DC"/>
    <w:rsid w:val="00637BFF"/>
    <w:rsid w:val="00637F8B"/>
    <w:rsid w:val="0064032F"/>
    <w:rsid w:val="006405E2"/>
    <w:rsid w:val="00640BB7"/>
    <w:rsid w:val="00640BB8"/>
    <w:rsid w:val="00640D4F"/>
    <w:rsid w:val="00640D76"/>
    <w:rsid w:val="0064195D"/>
    <w:rsid w:val="00641D7C"/>
    <w:rsid w:val="00641FD0"/>
    <w:rsid w:val="00642141"/>
    <w:rsid w:val="00643514"/>
    <w:rsid w:val="00644193"/>
    <w:rsid w:val="00644388"/>
    <w:rsid w:val="00644B17"/>
    <w:rsid w:val="00644D0F"/>
    <w:rsid w:val="00644E7D"/>
    <w:rsid w:val="00645329"/>
    <w:rsid w:val="0064541E"/>
    <w:rsid w:val="0064648C"/>
    <w:rsid w:val="0064690F"/>
    <w:rsid w:val="006469DD"/>
    <w:rsid w:val="00646FA3"/>
    <w:rsid w:val="006470AF"/>
    <w:rsid w:val="00647630"/>
    <w:rsid w:val="0065079D"/>
    <w:rsid w:val="00650874"/>
    <w:rsid w:val="00651350"/>
    <w:rsid w:val="0065152C"/>
    <w:rsid w:val="0065182B"/>
    <w:rsid w:val="0065264D"/>
    <w:rsid w:val="00653009"/>
    <w:rsid w:val="006543D2"/>
    <w:rsid w:val="0065466D"/>
    <w:rsid w:val="00654D46"/>
    <w:rsid w:val="00654E51"/>
    <w:rsid w:val="00654E69"/>
    <w:rsid w:val="00655047"/>
    <w:rsid w:val="0065525A"/>
    <w:rsid w:val="0065541C"/>
    <w:rsid w:val="00655A04"/>
    <w:rsid w:val="00655D46"/>
    <w:rsid w:val="0065620B"/>
    <w:rsid w:val="00656B6C"/>
    <w:rsid w:val="00656B72"/>
    <w:rsid w:val="0065722F"/>
    <w:rsid w:val="0066023E"/>
    <w:rsid w:val="0066050A"/>
    <w:rsid w:val="00660702"/>
    <w:rsid w:val="00660772"/>
    <w:rsid w:val="006607F0"/>
    <w:rsid w:val="0066081D"/>
    <w:rsid w:val="006614EF"/>
    <w:rsid w:val="00661D7F"/>
    <w:rsid w:val="00661F81"/>
    <w:rsid w:val="00661FA4"/>
    <w:rsid w:val="0066319B"/>
    <w:rsid w:val="0066380F"/>
    <w:rsid w:val="00663836"/>
    <w:rsid w:val="00663D26"/>
    <w:rsid w:val="0066401D"/>
    <w:rsid w:val="00664061"/>
    <w:rsid w:val="00665381"/>
    <w:rsid w:val="00665463"/>
    <w:rsid w:val="006654D7"/>
    <w:rsid w:val="006657FC"/>
    <w:rsid w:val="00665C0F"/>
    <w:rsid w:val="00666CC6"/>
    <w:rsid w:val="00666E5D"/>
    <w:rsid w:val="00667132"/>
    <w:rsid w:val="0066722A"/>
    <w:rsid w:val="006679CC"/>
    <w:rsid w:val="00667CE5"/>
    <w:rsid w:val="006701BE"/>
    <w:rsid w:val="006707C8"/>
    <w:rsid w:val="00671B62"/>
    <w:rsid w:val="006728FB"/>
    <w:rsid w:val="00672B29"/>
    <w:rsid w:val="00672E7F"/>
    <w:rsid w:val="00673311"/>
    <w:rsid w:val="006740DF"/>
    <w:rsid w:val="00674250"/>
    <w:rsid w:val="0067622B"/>
    <w:rsid w:val="006765CE"/>
    <w:rsid w:val="006768CD"/>
    <w:rsid w:val="00677390"/>
    <w:rsid w:val="00677A97"/>
    <w:rsid w:val="006802C4"/>
    <w:rsid w:val="006819D9"/>
    <w:rsid w:val="00681BE1"/>
    <w:rsid w:val="00682422"/>
    <w:rsid w:val="006826EC"/>
    <w:rsid w:val="00682727"/>
    <w:rsid w:val="00683028"/>
    <w:rsid w:val="0068310E"/>
    <w:rsid w:val="0068388C"/>
    <w:rsid w:val="00683CEA"/>
    <w:rsid w:val="00684498"/>
    <w:rsid w:val="00684A2C"/>
    <w:rsid w:val="00684AFE"/>
    <w:rsid w:val="006858A2"/>
    <w:rsid w:val="00685DCD"/>
    <w:rsid w:val="00686685"/>
    <w:rsid w:val="00687280"/>
    <w:rsid w:val="0068793D"/>
    <w:rsid w:val="00687DF7"/>
    <w:rsid w:val="00690444"/>
    <w:rsid w:val="00690877"/>
    <w:rsid w:val="00690C0D"/>
    <w:rsid w:val="00690C18"/>
    <w:rsid w:val="0069113A"/>
    <w:rsid w:val="00691504"/>
    <w:rsid w:val="00691F1B"/>
    <w:rsid w:val="00691F77"/>
    <w:rsid w:val="00692397"/>
    <w:rsid w:val="00693EBD"/>
    <w:rsid w:val="00694AC2"/>
    <w:rsid w:val="00694CC5"/>
    <w:rsid w:val="00695FFF"/>
    <w:rsid w:val="00696877"/>
    <w:rsid w:val="006973AF"/>
    <w:rsid w:val="00697487"/>
    <w:rsid w:val="006979DA"/>
    <w:rsid w:val="00697A53"/>
    <w:rsid w:val="006A01D0"/>
    <w:rsid w:val="006A026F"/>
    <w:rsid w:val="006A0849"/>
    <w:rsid w:val="006A08AB"/>
    <w:rsid w:val="006A0A50"/>
    <w:rsid w:val="006A0CCD"/>
    <w:rsid w:val="006A0DC6"/>
    <w:rsid w:val="006A1005"/>
    <w:rsid w:val="006A1634"/>
    <w:rsid w:val="006A1872"/>
    <w:rsid w:val="006A1DC5"/>
    <w:rsid w:val="006A22BC"/>
    <w:rsid w:val="006A370B"/>
    <w:rsid w:val="006A3755"/>
    <w:rsid w:val="006A3810"/>
    <w:rsid w:val="006A3B27"/>
    <w:rsid w:val="006A3D41"/>
    <w:rsid w:val="006A4E0E"/>
    <w:rsid w:val="006A5038"/>
    <w:rsid w:val="006A51BE"/>
    <w:rsid w:val="006A53AB"/>
    <w:rsid w:val="006A5426"/>
    <w:rsid w:val="006A5639"/>
    <w:rsid w:val="006A629B"/>
    <w:rsid w:val="006A6533"/>
    <w:rsid w:val="006A66FB"/>
    <w:rsid w:val="006A686C"/>
    <w:rsid w:val="006A6F27"/>
    <w:rsid w:val="006A7487"/>
    <w:rsid w:val="006A760C"/>
    <w:rsid w:val="006A777E"/>
    <w:rsid w:val="006A7F12"/>
    <w:rsid w:val="006B0CD3"/>
    <w:rsid w:val="006B1543"/>
    <w:rsid w:val="006B26A8"/>
    <w:rsid w:val="006B2906"/>
    <w:rsid w:val="006B2AE2"/>
    <w:rsid w:val="006B2F49"/>
    <w:rsid w:val="006B3B8C"/>
    <w:rsid w:val="006B44DD"/>
    <w:rsid w:val="006B44F2"/>
    <w:rsid w:val="006B492E"/>
    <w:rsid w:val="006B49EA"/>
    <w:rsid w:val="006B4B0E"/>
    <w:rsid w:val="006B55EF"/>
    <w:rsid w:val="006B5B77"/>
    <w:rsid w:val="006B68D9"/>
    <w:rsid w:val="006B69DD"/>
    <w:rsid w:val="006B6EEE"/>
    <w:rsid w:val="006B7105"/>
    <w:rsid w:val="006B7E74"/>
    <w:rsid w:val="006C08DE"/>
    <w:rsid w:val="006C0A94"/>
    <w:rsid w:val="006C0B4A"/>
    <w:rsid w:val="006C111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D28"/>
    <w:rsid w:val="006C5DEE"/>
    <w:rsid w:val="006C63D2"/>
    <w:rsid w:val="006C7338"/>
    <w:rsid w:val="006C7B77"/>
    <w:rsid w:val="006D0A38"/>
    <w:rsid w:val="006D0AA4"/>
    <w:rsid w:val="006D0E72"/>
    <w:rsid w:val="006D136A"/>
    <w:rsid w:val="006D1774"/>
    <w:rsid w:val="006D2B6A"/>
    <w:rsid w:val="006D33D5"/>
    <w:rsid w:val="006D346B"/>
    <w:rsid w:val="006D3EBF"/>
    <w:rsid w:val="006D4010"/>
    <w:rsid w:val="006D43FA"/>
    <w:rsid w:val="006D4815"/>
    <w:rsid w:val="006D49A9"/>
    <w:rsid w:val="006D5195"/>
    <w:rsid w:val="006D55B1"/>
    <w:rsid w:val="006D55EE"/>
    <w:rsid w:val="006D5FAF"/>
    <w:rsid w:val="006D61CA"/>
    <w:rsid w:val="006D6891"/>
    <w:rsid w:val="006D741B"/>
    <w:rsid w:val="006D7436"/>
    <w:rsid w:val="006D75D9"/>
    <w:rsid w:val="006E00C1"/>
    <w:rsid w:val="006E045D"/>
    <w:rsid w:val="006E0CEF"/>
    <w:rsid w:val="006E0D67"/>
    <w:rsid w:val="006E1421"/>
    <w:rsid w:val="006E183B"/>
    <w:rsid w:val="006E1883"/>
    <w:rsid w:val="006E2748"/>
    <w:rsid w:val="006E35C4"/>
    <w:rsid w:val="006E3CF2"/>
    <w:rsid w:val="006E42A2"/>
    <w:rsid w:val="006E437C"/>
    <w:rsid w:val="006E496B"/>
    <w:rsid w:val="006E4CFF"/>
    <w:rsid w:val="006E4F29"/>
    <w:rsid w:val="006E50CF"/>
    <w:rsid w:val="006E5CE9"/>
    <w:rsid w:val="006E605E"/>
    <w:rsid w:val="006E615A"/>
    <w:rsid w:val="006E6B75"/>
    <w:rsid w:val="006E6C56"/>
    <w:rsid w:val="006E7515"/>
    <w:rsid w:val="006E79D5"/>
    <w:rsid w:val="006F015D"/>
    <w:rsid w:val="006F0256"/>
    <w:rsid w:val="006F083C"/>
    <w:rsid w:val="006F0B09"/>
    <w:rsid w:val="006F0B46"/>
    <w:rsid w:val="006F22A1"/>
    <w:rsid w:val="006F23E4"/>
    <w:rsid w:val="006F25F7"/>
    <w:rsid w:val="006F2A98"/>
    <w:rsid w:val="006F2AC0"/>
    <w:rsid w:val="006F2AD0"/>
    <w:rsid w:val="006F2D50"/>
    <w:rsid w:val="006F2DFE"/>
    <w:rsid w:val="006F2EBA"/>
    <w:rsid w:val="006F3487"/>
    <w:rsid w:val="006F3A6B"/>
    <w:rsid w:val="006F42EF"/>
    <w:rsid w:val="006F57F2"/>
    <w:rsid w:val="006F5D70"/>
    <w:rsid w:val="006F75E1"/>
    <w:rsid w:val="006F7824"/>
    <w:rsid w:val="006F7CAD"/>
    <w:rsid w:val="00700E75"/>
    <w:rsid w:val="00700FCC"/>
    <w:rsid w:val="00700FEA"/>
    <w:rsid w:val="00701121"/>
    <w:rsid w:val="00701532"/>
    <w:rsid w:val="00701548"/>
    <w:rsid w:val="0070199A"/>
    <w:rsid w:val="00702352"/>
    <w:rsid w:val="00702469"/>
    <w:rsid w:val="0070257C"/>
    <w:rsid w:val="00702827"/>
    <w:rsid w:val="00702986"/>
    <w:rsid w:val="00702DF9"/>
    <w:rsid w:val="00703328"/>
    <w:rsid w:val="00703584"/>
    <w:rsid w:val="00703799"/>
    <w:rsid w:val="007039E7"/>
    <w:rsid w:val="00703D8F"/>
    <w:rsid w:val="00704AE5"/>
    <w:rsid w:val="00704BC9"/>
    <w:rsid w:val="00704ED6"/>
    <w:rsid w:val="007050EF"/>
    <w:rsid w:val="0070636B"/>
    <w:rsid w:val="00706A3A"/>
    <w:rsid w:val="00706A76"/>
    <w:rsid w:val="00706BD7"/>
    <w:rsid w:val="00706EAD"/>
    <w:rsid w:val="00707861"/>
    <w:rsid w:val="00707C69"/>
    <w:rsid w:val="00710249"/>
    <w:rsid w:val="00710BFD"/>
    <w:rsid w:val="00710E12"/>
    <w:rsid w:val="00711040"/>
    <w:rsid w:val="00711CD3"/>
    <w:rsid w:val="007120BA"/>
    <w:rsid w:val="00712554"/>
    <w:rsid w:val="00712D0B"/>
    <w:rsid w:val="00713559"/>
    <w:rsid w:val="00713662"/>
    <w:rsid w:val="007138D1"/>
    <w:rsid w:val="00713C5F"/>
    <w:rsid w:val="0071437F"/>
    <w:rsid w:val="0071489B"/>
    <w:rsid w:val="0071494C"/>
    <w:rsid w:val="00714A2E"/>
    <w:rsid w:val="00714EF8"/>
    <w:rsid w:val="007150A1"/>
    <w:rsid w:val="007157A1"/>
    <w:rsid w:val="00715835"/>
    <w:rsid w:val="00715B2C"/>
    <w:rsid w:val="00715CB2"/>
    <w:rsid w:val="007165BA"/>
    <w:rsid w:val="007166CE"/>
    <w:rsid w:val="00716D64"/>
    <w:rsid w:val="00716DF3"/>
    <w:rsid w:val="00716FA3"/>
    <w:rsid w:val="007174D8"/>
    <w:rsid w:val="007177D8"/>
    <w:rsid w:val="00717F36"/>
    <w:rsid w:val="007204EE"/>
    <w:rsid w:val="007207B4"/>
    <w:rsid w:val="00720A19"/>
    <w:rsid w:val="007213BA"/>
    <w:rsid w:val="007225A8"/>
    <w:rsid w:val="00722676"/>
    <w:rsid w:val="007227B9"/>
    <w:rsid w:val="007227EA"/>
    <w:rsid w:val="0072287E"/>
    <w:rsid w:val="00722C8E"/>
    <w:rsid w:val="007235A1"/>
    <w:rsid w:val="00723809"/>
    <w:rsid w:val="00723E7A"/>
    <w:rsid w:val="007245BB"/>
    <w:rsid w:val="00724A27"/>
    <w:rsid w:val="0072582C"/>
    <w:rsid w:val="00725BA2"/>
    <w:rsid w:val="007268D1"/>
    <w:rsid w:val="007269D8"/>
    <w:rsid w:val="0072728E"/>
    <w:rsid w:val="0072753D"/>
    <w:rsid w:val="00727BFC"/>
    <w:rsid w:val="0073015C"/>
    <w:rsid w:val="00730957"/>
    <w:rsid w:val="0073097C"/>
    <w:rsid w:val="00730DCD"/>
    <w:rsid w:val="00730EA5"/>
    <w:rsid w:val="00731123"/>
    <w:rsid w:val="00731206"/>
    <w:rsid w:val="00731A83"/>
    <w:rsid w:val="00731C77"/>
    <w:rsid w:val="00732204"/>
    <w:rsid w:val="007326AC"/>
    <w:rsid w:val="007335DD"/>
    <w:rsid w:val="007338B7"/>
    <w:rsid w:val="00733ECD"/>
    <w:rsid w:val="007340EA"/>
    <w:rsid w:val="00734456"/>
    <w:rsid w:val="00734486"/>
    <w:rsid w:val="00735BC0"/>
    <w:rsid w:val="00736217"/>
    <w:rsid w:val="00737ADE"/>
    <w:rsid w:val="007403AD"/>
    <w:rsid w:val="00740753"/>
    <w:rsid w:val="007408DC"/>
    <w:rsid w:val="007410B6"/>
    <w:rsid w:val="00741590"/>
    <w:rsid w:val="00741673"/>
    <w:rsid w:val="007420D4"/>
    <w:rsid w:val="007425D8"/>
    <w:rsid w:val="007427DF"/>
    <w:rsid w:val="00742FD0"/>
    <w:rsid w:val="00743205"/>
    <w:rsid w:val="0074352F"/>
    <w:rsid w:val="00743825"/>
    <w:rsid w:val="00743B17"/>
    <w:rsid w:val="007440B3"/>
    <w:rsid w:val="0074435F"/>
    <w:rsid w:val="00744821"/>
    <w:rsid w:val="00744AA5"/>
    <w:rsid w:val="007450EE"/>
    <w:rsid w:val="00745459"/>
    <w:rsid w:val="007461A7"/>
    <w:rsid w:val="007461B8"/>
    <w:rsid w:val="007462C5"/>
    <w:rsid w:val="0074720E"/>
    <w:rsid w:val="007474DB"/>
    <w:rsid w:val="007475D6"/>
    <w:rsid w:val="007479E2"/>
    <w:rsid w:val="00747FC3"/>
    <w:rsid w:val="00750A1F"/>
    <w:rsid w:val="00751380"/>
    <w:rsid w:val="007520D8"/>
    <w:rsid w:val="007526D5"/>
    <w:rsid w:val="00752C80"/>
    <w:rsid w:val="0075326D"/>
    <w:rsid w:val="00753578"/>
    <w:rsid w:val="0075397F"/>
    <w:rsid w:val="00753C55"/>
    <w:rsid w:val="00753F14"/>
    <w:rsid w:val="007543C6"/>
    <w:rsid w:val="00754F97"/>
    <w:rsid w:val="00755592"/>
    <w:rsid w:val="00755ED3"/>
    <w:rsid w:val="0075611C"/>
    <w:rsid w:val="007567C1"/>
    <w:rsid w:val="00756CD3"/>
    <w:rsid w:val="00756D46"/>
    <w:rsid w:val="00760568"/>
    <w:rsid w:val="007606B2"/>
    <w:rsid w:val="00760D5D"/>
    <w:rsid w:val="00762475"/>
    <w:rsid w:val="0076257E"/>
    <w:rsid w:val="007626B1"/>
    <w:rsid w:val="00762865"/>
    <w:rsid w:val="007628B7"/>
    <w:rsid w:val="00762AB2"/>
    <w:rsid w:val="00762BDA"/>
    <w:rsid w:val="00762C44"/>
    <w:rsid w:val="00762FA9"/>
    <w:rsid w:val="007630B1"/>
    <w:rsid w:val="0076350A"/>
    <w:rsid w:val="0076386D"/>
    <w:rsid w:val="00763EF0"/>
    <w:rsid w:val="00764027"/>
    <w:rsid w:val="0076471C"/>
    <w:rsid w:val="0076485F"/>
    <w:rsid w:val="0076508A"/>
    <w:rsid w:val="0076567C"/>
    <w:rsid w:val="00765FE7"/>
    <w:rsid w:val="00766387"/>
    <w:rsid w:val="0076640B"/>
    <w:rsid w:val="00766473"/>
    <w:rsid w:val="00766A14"/>
    <w:rsid w:val="00766C54"/>
    <w:rsid w:val="0076745B"/>
    <w:rsid w:val="00767629"/>
    <w:rsid w:val="00767C90"/>
    <w:rsid w:val="00767CEE"/>
    <w:rsid w:val="00767F01"/>
    <w:rsid w:val="00770405"/>
    <w:rsid w:val="00770645"/>
    <w:rsid w:val="00770A13"/>
    <w:rsid w:val="00770B1C"/>
    <w:rsid w:val="00770CBC"/>
    <w:rsid w:val="007718D9"/>
    <w:rsid w:val="00772110"/>
    <w:rsid w:val="0077231D"/>
    <w:rsid w:val="007727B5"/>
    <w:rsid w:val="007727BA"/>
    <w:rsid w:val="00772DC0"/>
    <w:rsid w:val="00772F92"/>
    <w:rsid w:val="00773448"/>
    <w:rsid w:val="00773745"/>
    <w:rsid w:val="00773877"/>
    <w:rsid w:val="007744C7"/>
    <w:rsid w:val="00774526"/>
    <w:rsid w:val="007747E1"/>
    <w:rsid w:val="00774B31"/>
    <w:rsid w:val="00774C6C"/>
    <w:rsid w:val="007759F2"/>
    <w:rsid w:val="0077642A"/>
    <w:rsid w:val="007771A0"/>
    <w:rsid w:val="0077772F"/>
    <w:rsid w:val="007778AA"/>
    <w:rsid w:val="00777B24"/>
    <w:rsid w:val="00780446"/>
    <w:rsid w:val="007804A6"/>
    <w:rsid w:val="0078086B"/>
    <w:rsid w:val="00780C58"/>
    <w:rsid w:val="00780E87"/>
    <w:rsid w:val="00781772"/>
    <w:rsid w:val="00781AA6"/>
    <w:rsid w:val="00782874"/>
    <w:rsid w:val="00782FBD"/>
    <w:rsid w:val="00783159"/>
    <w:rsid w:val="00783455"/>
    <w:rsid w:val="0078366C"/>
    <w:rsid w:val="00783D36"/>
    <w:rsid w:val="00783F12"/>
    <w:rsid w:val="0078407D"/>
    <w:rsid w:val="00785CC8"/>
    <w:rsid w:val="00786195"/>
    <w:rsid w:val="007862A2"/>
    <w:rsid w:val="00786ACE"/>
    <w:rsid w:val="00786F60"/>
    <w:rsid w:val="00786F66"/>
    <w:rsid w:val="007874D5"/>
    <w:rsid w:val="00787A75"/>
    <w:rsid w:val="00787B69"/>
    <w:rsid w:val="007916ED"/>
    <w:rsid w:val="007918C9"/>
    <w:rsid w:val="00791B78"/>
    <w:rsid w:val="00791C08"/>
    <w:rsid w:val="00791CDE"/>
    <w:rsid w:val="007938DF"/>
    <w:rsid w:val="0079398E"/>
    <w:rsid w:val="00793C81"/>
    <w:rsid w:val="00793EE5"/>
    <w:rsid w:val="00793FBC"/>
    <w:rsid w:val="00794247"/>
    <w:rsid w:val="007952C3"/>
    <w:rsid w:val="007954EC"/>
    <w:rsid w:val="0079559D"/>
    <w:rsid w:val="00795E7B"/>
    <w:rsid w:val="00795E99"/>
    <w:rsid w:val="00795F50"/>
    <w:rsid w:val="00796B4F"/>
    <w:rsid w:val="007979B6"/>
    <w:rsid w:val="00797EB1"/>
    <w:rsid w:val="007A00CC"/>
    <w:rsid w:val="007A0471"/>
    <w:rsid w:val="007A053A"/>
    <w:rsid w:val="007A08BB"/>
    <w:rsid w:val="007A0A3A"/>
    <w:rsid w:val="007A11EE"/>
    <w:rsid w:val="007A1636"/>
    <w:rsid w:val="007A1887"/>
    <w:rsid w:val="007A1B04"/>
    <w:rsid w:val="007A30BB"/>
    <w:rsid w:val="007A3271"/>
    <w:rsid w:val="007A328D"/>
    <w:rsid w:val="007A32B3"/>
    <w:rsid w:val="007A3423"/>
    <w:rsid w:val="007A3734"/>
    <w:rsid w:val="007A3834"/>
    <w:rsid w:val="007A39C4"/>
    <w:rsid w:val="007A3E44"/>
    <w:rsid w:val="007A45A3"/>
    <w:rsid w:val="007A46D7"/>
    <w:rsid w:val="007A4A42"/>
    <w:rsid w:val="007A4C09"/>
    <w:rsid w:val="007A529A"/>
    <w:rsid w:val="007A581C"/>
    <w:rsid w:val="007A5974"/>
    <w:rsid w:val="007A5B37"/>
    <w:rsid w:val="007A60BF"/>
    <w:rsid w:val="007A61AD"/>
    <w:rsid w:val="007A6312"/>
    <w:rsid w:val="007A71C1"/>
    <w:rsid w:val="007A73D9"/>
    <w:rsid w:val="007A7AC2"/>
    <w:rsid w:val="007A7B44"/>
    <w:rsid w:val="007A7F3A"/>
    <w:rsid w:val="007B05F4"/>
    <w:rsid w:val="007B071B"/>
    <w:rsid w:val="007B092E"/>
    <w:rsid w:val="007B0FB5"/>
    <w:rsid w:val="007B0FE2"/>
    <w:rsid w:val="007B15FF"/>
    <w:rsid w:val="007B1659"/>
    <w:rsid w:val="007B1E13"/>
    <w:rsid w:val="007B1F84"/>
    <w:rsid w:val="007B2AB4"/>
    <w:rsid w:val="007B2B2B"/>
    <w:rsid w:val="007B3F84"/>
    <w:rsid w:val="007B3F85"/>
    <w:rsid w:val="007B4305"/>
    <w:rsid w:val="007B4837"/>
    <w:rsid w:val="007B4B1E"/>
    <w:rsid w:val="007B4F36"/>
    <w:rsid w:val="007B50E1"/>
    <w:rsid w:val="007B5848"/>
    <w:rsid w:val="007B75B2"/>
    <w:rsid w:val="007B79BC"/>
    <w:rsid w:val="007B7B2E"/>
    <w:rsid w:val="007B7B61"/>
    <w:rsid w:val="007C07A2"/>
    <w:rsid w:val="007C07AE"/>
    <w:rsid w:val="007C0D6E"/>
    <w:rsid w:val="007C2128"/>
    <w:rsid w:val="007C2BDF"/>
    <w:rsid w:val="007C3B6F"/>
    <w:rsid w:val="007C40CA"/>
    <w:rsid w:val="007C4123"/>
    <w:rsid w:val="007C4223"/>
    <w:rsid w:val="007C434F"/>
    <w:rsid w:val="007C4BE2"/>
    <w:rsid w:val="007C51C9"/>
    <w:rsid w:val="007C5228"/>
    <w:rsid w:val="007C53C9"/>
    <w:rsid w:val="007C5461"/>
    <w:rsid w:val="007C56B4"/>
    <w:rsid w:val="007C5E72"/>
    <w:rsid w:val="007C5FA2"/>
    <w:rsid w:val="007C62D3"/>
    <w:rsid w:val="007C69BE"/>
    <w:rsid w:val="007C7CB5"/>
    <w:rsid w:val="007D04BB"/>
    <w:rsid w:val="007D091B"/>
    <w:rsid w:val="007D1753"/>
    <w:rsid w:val="007D1D75"/>
    <w:rsid w:val="007D1DE0"/>
    <w:rsid w:val="007D1E06"/>
    <w:rsid w:val="007D20B8"/>
    <w:rsid w:val="007D3274"/>
    <w:rsid w:val="007D337C"/>
    <w:rsid w:val="007D344B"/>
    <w:rsid w:val="007D3F8C"/>
    <w:rsid w:val="007D3FCF"/>
    <w:rsid w:val="007D4271"/>
    <w:rsid w:val="007D440A"/>
    <w:rsid w:val="007D471E"/>
    <w:rsid w:val="007D483A"/>
    <w:rsid w:val="007D4849"/>
    <w:rsid w:val="007D4905"/>
    <w:rsid w:val="007D4CF2"/>
    <w:rsid w:val="007D4D35"/>
    <w:rsid w:val="007D5491"/>
    <w:rsid w:val="007D54F3"/>
    <w:rsid w:val="007D5771"/>
    <w:rsid w:val="007D5AEE"/>
    <w:rsid w:val="007D5F66"/>
    <w:rsid w:val="007D63D6"/>
    <w:rsid w:val="007D6C6F"/>
    <w:rsid w:val="007D6E08"/>
    <w:rsid w:val="007D7592"/>
    <w:rsid w:val="007D75E9"/>
    <w:rsid w:val="007D78A0"/>
    <w:rsid w:val="007D7937"/>
    <w:rsid w:val="007D7AF0"/>
    <w:rsid w:val="007D7BB7"/>
    <w:rsid w:val="007E0749"/>
    <w:rsid w:val="007E134A"/>
    <w:rsid w:val="007E1652"/>
    <w:rsid w:val="007E1D99"/>
    <w:rsid w:val="007E1F73"/>
    <w:rsid w:val="007E25AF"/>
    <w:rsid w:val="007E25EA"/>
    <w:rsid w:val="007E2670"/>
    <w:rsid w:val="007E2AD5"/>
    <w:rsid w:val="007E2E12"/>
    <w:rsid w:val="007E2FDE"/>
    <w:rsid w:val="007E3123"/>
    <w:rsid w:val="007E430B"/>
    <w:rsid w:val="007E5346"/>
    <w:rsid w:val="007E553F"/>
    <w:rsid w:val="007E566E"/>
    <w:rsid w:val="007E56E0"/>
    <w:rsid w:val="007E609A"/>
    <w:rsid w:val="007E66B1"/>
    <w:rsid w:val="007E6A1B"/>
    <w:rsid w:val="007E6BC1"/>
    <w:rsid w:val="007E6BCE"/>
    <w:rsid w:val="007E7233"/>
    <w:rsid w:val="007E72D5"/>
    <w:rsid w:val="007E7861"/>
    <w:rsid w:val="007F1097"/>
    <w:rsid w:val="007F1578"/>
    <w:rsid w:val="007F169E"/>
    <w:rsid w:val="007F202A"/>
    <w:rsid w:val="007F285B"/>
    <w:rsid w:val="007F2D41"/>
    <w:rsid w:val="007F3B2C"/>
    <w:rsid w:val="007F4DA5"/>
    <w:rsid w:val="007F5016"/>
    <w:rsid w:val="007F5326"/>
    <w:rsid w:val="007F53CE"/>
    <w:rsid w:val="007F5407"/>
    <w:rsid w:val="007F7977"/>
    <w:rsid w:val="00800B9E"/>
    <w:rsid w:val="00800C07"/>
    <w:rsid w:val="0080154F"/>
    <w:rsid w:val="00801B35"/>
    <w:rsid w:val="008023A1"/>
    <w:rsid w:val="008024D6"/>
    <w:rsid w:val="0080284E"/>
    <w:rsid w:val="00802B67"/>
    <w:rsid w:val="00802FFD"/>
    <w:rsid w:val="00803066"/>
    <w:rsid w:val="00803481"/>
    <w:rsid w:val="00803F5C"/>
    <w:rsid w:val="00804529"/>
    <w:rsid w:val="008047A6"/>
    <w:rsid w:val="00805608"/>
    <w:rsid w:val="00805652"/>
    <w:rsid w:val="00805803"/>
    <w:rsid w:val="008058AE"/>
    <w:rsid w:val="00805B7E"/>
    <w:rsid w:val="00805CC3"/>
    <w:rsid w:val="00805D3E"/>
    <w:rsid w:val="00806722"/>
    <w:rsid w:val="00806820"/>
    <w:rsid w:val="008069E7"/>
    <w:rsid w:val="00806C77"/>
    <w:rsid w:val="00806F4A"/>
    <w:rsid w:val="00806F95"/>
    <w:rsid w:val="0080711A"/>
    <w:rsid w:val="00807512"/>
    <w:rsid w:val="00807664"/>
    <w:rsid w:val="008076B3"/>
    <w:rsid w:val="00807FD7"/>
    <w:rsid w:val="008105B4"/>
    <w:rsid w:val="00810E8A"/>
    <w:rsid w:val="0081153E"/>
    <w:rsid w:val="008115EC"/>
    <w:rsid w:val="00811779"/>
    <w:rsid w:val="00811782"/>
    <w:rsid w:val="00811D60"/>
    <w:rsid w:val="00811E53"/>
    <w:rsid w:val="0081231C"/>
    <w:rsid w:val="008123A0"/>
    <w:rsid w:val="008127D6"/>
    <w:rsid w:val="00812C53"/>
    <w:rsid w:val="00813194"/>
    <w:rsid w:val="00813296"/>
    <w:rsid w:val="008143E5"/>
    <w:rsid w:val="008145B2"/>
    <w:rsid w:val="00814AEC"/>
    <w:rsid w:val="00814EFE"/>
    <w:rsid w:val="00815098"/>
    <w:rsid w:val="0081561D"/>
    <w:rsid w:val="00815E84"/>
    <w:rsid w:val="0081624B"/>
    <w:rsid w:val="00816C62"/>
    <w:rsid w:val="00816EB1"/>
    <w:rsid w:val="00817340"/>
    <w:rsid w:val="00817ABA"/>
    <w:rsid w:val="00817C25"/>
    <w:rsid w:val="00820001"/>
    <w:rsid w:val="00820034"/>
    <w:rsid w:val="00820552"/>
    <w:rsid w:val="008206DF"/>
    <w:rsid w:val="0082090A"/>
    <w:rsid w:val="00820D36"/>
    <w:rsid w:val="00820FEF"/>
    <w:rsid w:val="00821159"/>
    <w:rsid w:val="008214ED"/>
    <w:rsid w:val="00821801"/>
    <w:rsid w:val="008218AC"/>
    <w:rsid w:val="00821A8A"/>
    <w:rsid w:val="00822169"/>
    <w:rsid w:val="00822855"/>
    <w:rsid w:val="00822885"/>
    <w:rsid w:val="00822CAE"/>
    <w:rsid w:val="00823691"/>
    <w:rsid w:val="0082408C"/>
    <w:rsid w:val="00824419"/>
    <w:rsid w:val="00824771"/>
    <w:rsid w:val="00824EAE"/>
    <w:rsid w:val="00825C08"/>
    <w:rsid w:val="00825C18"/>
    <w:rsid w:val="00826576"/>
    <w:rsid w:val="008267F2"/>
    <w:rsid w:val="00826C94"/>
    <w:rsid w:val="008275BB"/>
    <w:rsid w:val="0083080D"/>
    <w:rsid w:val="008317A1"/>
    <w:rsid w:val="00831811"/>
    <w:rsid w:val="00832B74"/>
    <w:rsid w:val="00832C5B"/>
    <w:rsid w:val="00832EA1"/>
    <w:rsid w:val="00833065"/>
    <w:rsid w:val="008332A4"/>
    <w:rsid w:val="00833324"/>
    <w:rsid w:val="008338C0"/>
    <w:rsid w:val="00834737"/>
    <w:rsid w:val="00834B0C"/>
    <w:rsid w:val="00834E4C"/>
    <w:rsid w:val="00835438"/>
    <w:rsid w:val="008354F3"/>
    <w:rsid w:val="008358BB"/>
    <w:rsid w:val="008361F7"/>
    <w:rsid w:val="008367A8"/>
    <w:rsid w:val="00836E3B"/>
    <w:rsid w:val="008370B9"/>
    <w:rsid w:val="008371DF"/>
    <w:rsid w:val="0083720A"/>
    <w:rsid w:val="008376D2"/>
    <w:rsid w:val="00840459"/>
    <w:rsid w:val="00840498"/>
    <w:rsid w:val="00840594"/>
    <w:rsid w:val="00840E14"/>
    <w:rsid w:val="00841473"/>
    <w:rsid w:val="0084166E"/>
    <w:rsid w:val="00841AF0"/>
    <w:rsid w:val="0084206E"/>
    <w:rsid w:val="00842772"/>
    <w:rsid w:val="00842823"/>
    <w:rsid w:val="0084284D"/>
    <w:rsid w:val="00843680"/>
    <w:rsid w:val="00843DAE"/>
    <w:rsid w:val="00844AF8"/>
    <w:rsid w:val="00844F0C"/>
    <w:rsid w:val="00845C05"/>
    <w:rsid w:val="00846102"/>
    <w:rsid w:val="0084624C"/>
    <w:rsid w:val="008469D5"/>
    <w:rsid w:val="00846A3C"/>
    <w:rsid w:val="00850182"/>
    <w:rsid w:val="0085050A"/>
    <w:rsid w:val="0085052F"/>
    <w:rsid w:val="008508CD"/>
    <w:rsid w:val="00850A55"/>
    <w:rsid w:val="00850C1E"/>
    <w:rsid w:val="00850CD8"/>
    <w:rsid w:val="0085110A"/>
    <w:rsid w:val="00851361"/>
    <w:rsid w:val="00851B80"/>
    <w:rsid w:val="00851E40"/>
    <w:rsid w:val="008526F6"/>
    <w:rsid w:val="008528D7"/>
    <w:rsid w:val="00852BAC"/>
    <w:rsid w:val="00852CAC"/>
    <w:rsid w:val="008536F6"/>
    <w:rsid w:val="00853D4E"/>
    <w:rsid w:val="00853DD2"/>
    <w:rsid w:val="008543B4"/>
    <w:rsid w:val="008554A5"/>
    <w:rsid w:val="008554E5"/>
    <w:rsid w:val="0085552D"/>
    <w:rsid w:val="008556EC"/>
    <w:rsid w:val="00856154"/>
    <w:rsid w:val="008566E4"/>
    <w:rsid w:val="00856896"/>
    <w:rsid w:val="00856FC1"/>
    <w:rsid w:val="008576B4"/>
    <w:rsid w:val="00857D67"/>
    <w:rsid w:val="00857E55"/>
    <w:rsid w:val="00857F30"/>
    <w:rsid w:val="00860411"/>
    <w:rsid w:val="0086051F"/>
    <w:rsid w:val="00860AC9"/>
    <w:rsid w:val="00861920"/>
    <w:rsid w:val="00861FE8"/>
    <w:rsid w:val="0086282B"/>
    <w:rsid w:val="008636E0"/>
    <w:rsid w:val="00863728"/>
    <w:rsid w:val="00863C23"/>
    <w:rsid w:val="00863DDF"/>
    <w:rsid w:val="00864A98"/>
    <w:rsid w:val="00864B0D"/>
    <w:rsid w:val="00865168"/>
    <w:rsid w:val="0086523A"/>
    <w:rsid w:val="008655C8"/>
    <w:rsid w:val="00865B10"/>
    <w:rsid w:val="00865B77"/>
    <w:rsid w:val="00866AD1"/>
    <w:rsid w:val="00866CA1"/>
    <w:rsid w:val="0086707F"/>
    <w:rsid w:val="0086756B"/>
    <w:rsid w:val="0086775C"/>
    <w:rsid w:val="00867BC8"/>
    <w:rsid w:val="00867F3A"/>
    <w:rsid w:val="00870708"/>
    <w:rsid w:val="00871009"/>
    <w:rsid w:val="0087219F"/>
    <w:rsid w:val="00873206"/>
    <w:rsid w:val="0087351A"/>
    <w:rsid w:val="00873588"/>
    <w:rsid w:val="00873722"/>
    <w:rsid w:val="0087374C"/>
    <w:rsid w:val="008739C3"/>
    <w:rsid w:val="00873BE4"/>
    <w:rsid w:val="00873D83"/>
    <w:rsid w:val="008740F3"/>
    <w:rsid w:val="008741D5"/>
    <w:rsid w:val="008745E6"/>
    <w:rsid w:val="00877190"/>
    <w:rsid w:val="0088063E"/>
    <w:rsid w:val="00881DAB"/>
    <w:rsid w:val="0088246F"/>
    <w:rsid w:val="008825B8"/>
    <w:rsid w:val="00882613"/>
    <w:rsid w:val="00882D6A"/>
    <w:rsid w:val="00883446"/>
    <w:rsid w:val="008834F1"/>
    <w:rsid w:val="00883BEB"/>
    <w:rsid w:val="00883D88"/>
    <w:rsid w:val="0088429B"/>
    <w:rsid w:val="008847C0"/>
    <w:rsid w:val="00884DD5"/>
    <w:rsid w:val="00885003"/>
    <w:rsid w:val="00885456"/>
    <w:rsid w:val="008858B8"/>
    <w:rsid w:val="0088610D"/>
    <w:rsid w:val="0088669B"/>
    <w:rsid w:val="0088692D"/>
    <w:rsid w:val="008869FD"/>
    <w:rsid w:val="00886C39"/>
    <w:rsid w:val="00886E05"/>
    <w:rsid w:val="00886E83"/>
    <w:rsid w:val="00886F7E"/>
    <w:rsid w:val="00887000"/>
    <w:rsid w:val="008875E4"/>
    <w:rsid w:val="00887930"/>
    <w:rsid w:val="00887D4A"/>
    <w:rsid w:val="008906B7"/>
    <w:rsid w:val="008917D3"/>
    <w:rsid w:val="00891BDD"/>
    <w:rsid w:val="008922C2"/>
    <w:rsid w:val="00892751"/>
    <w:rsid w:val="00892869"/>
    <w:rsid w:val="008934BD"/>
    <w:rsid w:val="00893AD2"/>
    <w:rsid w:val="00893DC6"/>
    <w:rsid w:val="0089418A"/>
    <w:rsid w:val="008941F8"/>
    <w:rsid w:val="008947BE"/>
    <w:rsid w:val="00894C80"/>
    <w:rsid w:val="00895153"/>
    <w:rsid w:val="00895289"/>
    <w:rsid w:val="00895750"/>
    <w:rsid w:val="00896515"/>
    <w:rsid w:val="00896C01"/>
    <w:rsid w:val="00896C46"/>
    <w:rsid w:val="0089716E"/>
    <w:rsid w:val="00897827"/>
    <w:rsid w:val="008A00AC"/>
    <w:rsid w:val="008A0BC4"/>
    <w:rsid w:val="008A14FD"/>
    <w:rsid w:val="008A1899"/>
    <w:rsid w:val="008A22C6"/>
    <w:rsid w:val="008A3257"/>
    <w:rsid w:val="008A3749"/>
    <w:rsid w:val="008A42A7"/>
    <w:rsid w:val="008A455F"/>
    <w:rsid w:val="008A4958"/>
    <w:rsid w:val="008A5BCF"/>
    <w:rsid w:val="008A5DA4"/>
    <w:rsid w:val="008A5E14"/>
    <w:rsid w:val="008A65E7"/>
    <w:rsid w:val="008A663D"/>
    <w:rsid w:val="008A6713"/>
    <w:rsid w:val="008A760A"/>
    <w:rsid w:val="008A7D96"/>
    <w:rsid w:val="008B05FE"/>
    <w:rsid w:val="008B0EBE"/>
    <w:rsid w:val="008B1377"/>
    <w:rsid w:val="008B1E4B"/>
    <w:rsid w:val="008B2747"/>
    <w:rsid w:val="008B2EA3"/>
    <w:rsid w:val="008B368E"/>
    <w:rsid w:val="008B41F3"/>
    <w:rsid w:val="008B4225"/>
    <w:rsid w:val="008B51A8"/>
    <w:rsid w:val="008B5CE8"/>
    <w:rsid w:val="008B6236"/>
    <w:rsid w:val="008B669A"/>
    <w:rsid w:val="008B6899"/>
    <w:rsid w:val="008C006C"/>
    <w:rsid w:val="008C0134"/>
    <w:rsid w:val="008C079B"/>
    <w:rsid w:val="008C0E86"/>
    <w:rsid w:val="008C12CB"/>
    <w:rsid w:val="008C1BBB"/>
    <w:rsid w:val="008C1DD1"/>
    <w:rsid w:val="008C21A4"/>
    <w:rsid w:val="008C252E"/>
    <w:rsid w:val="008C2D18"/>
    <w:rsid w:val="008C397B"/>
    <w:rsid w:val="008C41A5"/>
    <w:rsid w:val="008C41E1"/>
    <w:rsid w:val="008C4464"/>
    <w:rsid w:val="008C4C23"/>
    <w:rsid w:val="008C4D45"/>
    <w:rsid w:val="008C4DB8"/>
    <w:rsid w:val="008C5642"/>
    <w:rsid w:val="008C5BA1"/>
    <w:rsid w:val="008C5D8C"/>
    <w:rsid w:val="008C6396"/>
    <w:rsid w:val="008C6C55"/>
    <w:rsid w:val="008C6CA7"/>
    <w:rsid w:val="008C6FCE"/>
    <w:rsid w:val="008C7284"/>
    <w:rsid w:val="008C775C"/>
    <w:rsid w:val="008C78A3"/>
    <w:rsid w:val="008C7FCE"/>
    <w:rsid w:val="008D0B6F"/>
    <w:rsid w:val="008D1668"/>
    <w:rsid w:val="008D229D"/>
    <w:rsid w:val="008D233A"/>
    <w:rsid w:val="008D293A"/>
    <w:rsid w:val="008D2BA3"/>
    <w:rsid w:val="008D2F72"/>
    <w:rsid w:val="008D331A"/>
    <w:rsid w:val="008D33C8"/>
    <w:rsid w:val="008D35F0"/>
    <w:rsid w:val="008D3DAF"/>
    <w:rsid w:val="008D3FDF"/>
    <w:rsid w:val="008D40B3"/>
    <w:rsid w:val="008D51DE"/>
    <w:rsid w:val="008D528B"/>
    <w:rsid w:val="008D52BE"/>
    <w:rsid w:val="008D6223"/>
    <w:rsid w:val="008D6F99"/>
    <w:rsid w:val="008D7AAB"/>
    <w:rsid w:val="008E0153"/>
    <w:rsid w:val="008E070A"/>
    <w:rsid w:val="008E0775"/>
    <w:rsid w:val="008E0C4F"/>
    <w:rsid w:val="008E0CFF"/>
    <w:rsid w:val="008E1546"/>
    <w:rsid w:val="008E19ED"/>
    <w:rsid w:val="008E1BC3"/>
    <w:rsid w:val="008E2488"/>
    <w:rsid w:val="008E2546"/>
    <w:rsid w:val="008E25F2"/>
    <w:rsid w:val="008E2F3B"/>
    <w:rsid w:val="008E42EC"/>
    <w:rsid w:val="008E52DF"/>
    <w:rsid w:val="008E5B6C"/>
    <w:rsid w:val="008F025C"/>
    <w:rsid w:val="008F02DF"/>
    <w:rsid w:val="008F068E"/>
    <w:rsid w:val="008F0EF3"/>
    <w:rsid w:val="008F11C0"/>
    <w:rsid w:val="008F13FF"/>
    <w:rsid w:val="008F15CF"/>
    <w:rsid w:val="008F15D6"/>
    <w:rsid w:val="008F1DC5"/>
    <w:rsid w:val="008F1F6E"/>
    <w:rsid w:val="008F37A7"/>
    <w:rsid w:val="008F43C6"/>
    <w:rsid w:val="008F45F4"/>
    <w:rsid w:val="008F462E"/>
    <w:rsid w:val="008F50F7"/>
    <w:rsid w:val="008F5444"/>
    <w:rsid w:val="008F581C"/>
    <w:rsid w:val="008F59F7"/>
    <w:rsid w:val="008F6171"/>
    <w:rsid w:val="008F61B9"/>
    <w:rsid w:val="008F6F00"/>
    <w:rsid w:val="008F705B"/>
    <w:rsid w:val="008F7DAE"/>
    <w:rsid w:val="00900447"/>
    <w:rsid w:val="009007CB"/>
    <w:rsid w:val="00900A71"/>
    <w:rsid w:val="00900B0F"/>
    <w:rsid w:val="00901537"/>
    <w:rsid w:val="009017ED"/>
    <w:rsid w:val="0090239F"/>
    <w:rsid w:val="009025BC"/>
    <w:rsid w:val="0090270E"/>
    <w:rsid w:val="009029F8"/>
    <w:rsid w:val="00902F47"/>
    <w:rsid w:val="00903B34"/>
    <w:rsid w:val="00903CCA"/>
    <w:rsid w:val="00903F7D"/>
    <w:rsid w:val="00903FA2"/>
    <w:rsid w:val="0090416D"/>
    <w:rsid w:val="00904B1A"/>
    <w:rsid w:val="00904C4D"/>
    <w:rsid w:val="00904F6E"/>
    <w:rsid w:val="0090507D"/>
    <w:rsid w:val="0090604C"/>
    <w:rsid w:val="00906425"/>
    <w:rsid w:val="00907180"/>
    <w:rsid w:val="00907228"/>
    <w:rsid w:val="009074DD"/>
    <w:rsid w:val="009074E6"/>
    <w:rsid w:val="00907ADA"/>
    <w:rsid w:val="00907B91"/>
    <w:rsid w:val="00907DA6"/>
    <w:rsid w:val="00907E56"/>
    <w:rsid w:val="00907FC3"/>
    <w:rsid w:val="009109D9"/>
    <w:rsid w:val="0091122E"/>
    <w:rsid w:val="0091177A"/>
    <w:rsid w:val="00911CF3"/>
    <w:rsid w:val="00912243"/>
    <w:rsid w:val="00913767"/>
    <w:rsid w:val="009138DE"/>
    <w:rsid w:val="00913A45"/>
    <w:rsid w:val="00913F00"/>
    <w:rsid w:val="00914B20"/>
    <w:rsid w:val="00914CFA"/>
    <w:rsid w:val="00914F94"/>
    <w:rsid w:val="00915435"/>
    <w:rsid w:val="00915456"/>
    <w:rsid w:val="00915B32"/>
    <w:rsid w:val="009160FB"/>
    <w:rsid w:val="009163B0"/>
    <w:rsid w:val="0091672A"/>
    <w:rsid w:val="009168D4"/>
    <w:rsid w:val="00916D20"/>
    <w:rsid w:val="00916E85"/>
    <w:rsid w:val="00917945"/>
    <w:rsid w:val="00917B1A"/>
    <w:rsid w:val="009207CC"/>
    <w:rsid w:val="009215A2"/>
    <w:rsid w:val="00921823"/>
    <w:rsid w:val="009224B9"/>
    <w:rsid w:val="009227DF"/>
    <w:rsid w:val="0092307C"/>
    <w:rsid w:val="00923508"/>
    <w:rsid w:val="009239B9"/>
    <w:rsid w:val="00923C4A"/>
    <w:rsid w:val="0092409E"/>
    <w:rsid w:val="009246FB"/>
    <w:rsid w:val="0092493C"/>
    <w:rsid w:val="00925568"/>
    <w:rsid w:val="00925B74"/>
    <w:rsid w:val="00926F64"/>
    <w:rsid w:val="009276AF"/>
    <w:rsid w:val="009307FD"/>
    <w:rsid w:val="009308F9"/>
    <w:rsid w:val="00931570"/>
    <w:rsid w:val="009317B4"/>
    <w:rsid w:val="00931C5A"/>
    <w:rsid w:val="00932241"/>
    <w:rsid w:val="00932929"/>
    <w:rsid w:val="00932E28"/>
    <w:rsid w:val="009336DD"/>
    <w:rsid w:val="00933C70"/>
    <w:rsid w:val="00933FFD"/>
    <w:rsid w:val="00934409"/>
    <w:rsid w:val="009346B0"/>
    <w:rsid w:val="0093477E"/>
    <w:rsid w:val="00934791"/>
    <w:rsid w:val="009350F7"/>
    <w:rsid w:val="009354CB"/>
    <w:rsid w:val="00935799"/>
    <w:rsid w:val="00935F85"/>
    <w:rsid w:val="00935FDD"/>
    <w:rsid w:val="00936148"/>
    <w:rsid w:val="00936386"/>
    <w:rsid w:val="009366C9"/>
    <w:rsid w:val="0093696D"/>
    <w:rsid w:val="00936A62"/>
    <w:rsid w:val="009375B9"/>
    <w:rsid w:val="009403AF"/>
    <w:rsid w:val="009406E6"/>
    <w:rsid w:val="00940884"/>
    <w:rsid w:val="00940BF8"/>
    <w:rsid w:val="0094265E"/>
    <w:rsid w:val="00942C0A"/>
    <w:rsid w:val="00942C53"/>
    <w:rsid w:val="00942C71"/>
    <w:rsid w:val="00943A15"/>
    <w:rsid w:val="00943B52"/>
    <w:rsid w:val="00943D47"/>
    <w:rsid w:val="00944E33"/>
    <w:rsid w:val="0094531A"/>
    <w:rsid w:val="009454C0"/>
    <w:rsid w:val="0094614C"/>
    <w:rsid w:val="009464DD"/>
    <w:rsid w:val="0094724F"/>
    <w:rsid w:val="0094736E"/>
    <w:rsid w:val="00947ADC"/>
    <w:rsid w:val="00950140"/>
    <w:rsid w:val="00950ECB"/>
    <w:rsid w:val="00951359"/>
    <w:rsid w:val="0095195B"/>
    <w:rsid w:val="00951A88"/>
    <w:rsid w:val="00952528"/>
    <w:rsid w:val="0095286E"/>
    <w:rsid w:val="00952A04"/>
    <w:rsid w:val="009532FD"/>
    <w:rsid w:val="00953337"/>
    <w:rsid w:val="009533DF"/>
    <w:rsid w:val="00953C78"/>
    <w:rsid w:val="00953FCD"/>
    <w:rsid w:val="009540E4"/>
    <w:rsid w:val="0095436A"/>
    <w:rsid w:val="00954957"/>
    <w:rsid w:val="00954C05"/>
    <w:rsid w:val="00954F95"/>
    <w:rsid w:val="009551AC"/>
    <w:rsid w:val="009553E3"/>
    <w:rsid w:val="00955B99"/>
    <w:rsid w:val="00956675"/>
    <w:rsid w:val="0095681B"/>
    <w:rsid w:val="0095689E"/>
    <w:rsid w:val="00957526"/>
    <w:rsid w:val="009575B3"/>
    <w:rsid w:val="00957881"/>
    <w:rsid w:val="00960736"/>
    <w:rsid w:val="0096076A"/>
    <w:rsid w:val="00960ED5"/>
    <w:rsid w:val="009612C8"/>
    <w:rsid w:val="009613F5"/>
    <w:rsid w:val="00961F54"/>
    <w:rsid w:val="009629BE"/>
    <w:rsid w:val="00963160"/>
    <w:rsid w:val="0096349C"/>
    <w:rsid w:val="0096352B"/>
    <w:rsid w:val="00963861"/>
    <w:rsid w:val="00963DBC"/>
    <w:rsid w:val="009641F9"/>
    <w:rsid w:val="009644F9"/>
    <w:rsid w:val="00964B49"/>
    <w:rsid w:val="0096556E"/>
    <w:rsid w:val="0096575C"/>
    <w:rsid w:val="0096604F"/>
    <w:rsid w:val="0096722E"/>
    <w:rsid w:val="00967455"/>
    <w:rsid w:val="009675FF"/>
    <w:rsid w:val="00967E3D"/>
    <w:rsid w:val="00970C6F"/>
    <w:rsid w:val="00970EA1"/>
    <w:rsid w:val="009718DB"/>
    <w:rsid w:val="009728FE"/>
    <w:rsid w:val="00972CFE"/>
    <w:rsid w:val="00972D40"/>
    <w:rsid w:val="00972DCF"/>
    <w:rsid w:val="009731F9"/>
    <w:rsid w:val="009735F0"/>
    <w:rsid w:val="0097382D"/>
    <w:rsid w:val="00973DE7"/>
    <w:rsid w:val="00973EDB"/>
    <w:rsid w:val="00975131"/>
    <w:rsid w:val="0097589A"/>
    <w:rsid w:val="00976350"/>
    <w:rsid w:val="0097707E"/>
    <w:rsid w:val="0097791C"/>
    <w:rsid w:val="00981601"/>
    <w:rsid w:val="00981DF6"/>
    <w:rsid w:val="00982126"/>
    <w:rsid w:val="009821B8"/>
    <w:rsid w:val="00982FA9"/>
    <w:rsid w:val="009837F2"/>
    <w:rsid w:val="00983815"/>
    <w:rsid w:val="0098411C"/>
    <w:rsid w:val="00984242"/>
    <w:rsid w:val="00984EE4"/>
    <w:rsid w:val="00985630"/>
    <w:rsid w:val="00985D81"/>
    <w:rsid w:val="009869F9"/>
    <w:rsid w:val="00986A6E"/>
    <w:rsid w:val="00986C39"/>
    <w:rsid w:val="00986CCF"/>
    <w:rsid w:val="00986E0F"/>
    <w:rsid w:val="0098754B"/>
    <w:rsid w:val="009875F0"/>
    <w:rsid w:val="009876E9"/>
    <w:rsid w:val="009907F8"/>
    <w:rsid w:val="00991DBE"/>
    <w:rsid w:val="00991E8C"/>
    <w:rsid w:val="00991ED8"/>
    <w:rsid w:val="00992680"/>
    <w:rsid w:val="0099298F"/>
    <w:rsid w:val="00992DE0"/>
    <w:rsid w:val="00993201"/>
    <w:rsid w:val="00993A9D"/>
    <w:rsid w:val="009940B3"/>
    <w:rsid w:val="009944DA"/>
    <w:rsid w:val="009946BE"/>
    <w:rsid w:val="00994763"/>
    <w:rsid w:val="00994C49"/>
    <w:rsid w:val="00994DBC"/>
    <w:rsid w:val="0099697A"/>
    <w:rsid w:val="00997188"/>
    <w:rsid w:val="0099771A"/>
    <w:rsid w:val="009978B3"/>
    <w:rsid w:val="00997B38"/>
    <w:rsid w:val="00997B96"/>
    <w:rsid w:val="009A0732"/>
    <w:rsid w:val="009A07A7"/>
    <w:rsid w:val="009A07DF"/>
    <w:rsid w:val="009A0BB4"/>
    <w:rsid w:val="009A1280"/>
    <w:rsid w:val="009A129B"/>
    <w:rsid w:val="009A12E0"/>
    <w:rsid w:val="009A2885"/>
    <w:rsid w:val="009A2F8F"/>
    <w:rsid w:val="009A3A36"/>
    <w:rsid w:val="009A3BEE"/>
    <w:rsid w:val="009A3E08"/>
    <w:rsid w:val="009A4883"/>
    <w:rsid w:val="009A4AA8"/>
    <w:rsid w:val="009A4CB2"/>
    <w:rsid w:val="009A50A0"/>
    <w:rsid w:val="009A6091"/>
    <w:rsid w:val="009A673A"/>
    <w:rsid w:val="009A68B4"/>
    <w:rsid w:val="009A6F32"/>
    <w:rsid w:val="009A723C"/>
    <w:rsid w:val="009A7351"/>
    <w:rsid w:val="009A779E"/>
    <w:rsid w:val="009B096F"/>
    <w:rsid w:val="009B0B47"/>
    <w:rsid w:val="009B0D42"/>
    <w:rsid w:val="009B1C78"/>
    <w:rsid w:val="009B1E12"/>
    <w:rsid w:val="009B2025"/>
    <w:rsid w:val="009B2639"/>
    <w:rsid w:val="009B2891"/>
    <w:rsid w:val="009B35E0"/>
    <w:rsid w:val="009B369D"/>
    <w:rsid w:val="009B3DD8"/>
    <w:rsid w:val="009B3E0B"/>
    <w:rsid w:val="009B4E92"/>
    <w:rsid w:val="009B53B5"/>
    <w:rsid w:val="009B5454"/>
    <w:rsid w:val="009B55F0"/>
    <w:rsid w:val="009B5975"/>
    <w:rsid w:val="009B5A14"/>
    <w:rsid w:val="009B60F1"/>
    <w:rsid w:val="009B6466"/>
    <w:rsid w:val="009B6548"/>
    <w:rsid w:val="009B668D"/>
    <w:rsid w:val="009B67CA"/>
    <w:rsid w:val="009B6A92"/>
    <w:rsid w:val="009B6DCB"/>
    <w:rsid w:val="009B6FC4"/>
    <w:rsid w:val="009B7071"/>
    <w:rsid w:val="009B722B"/>
    <w:rsid w:val="009B7409"/>
    <w:rsid w:val="009B7637"/>
    <w:rsid w:val="009B76A1"/>
    <w:rsid w:val="009B795D"/>
    <w:rsid w:val="009C0968"/>
    <w:rsid w:val="009C09B5"/>
    <w:rsid w:val="009C0A67"/>
    <w:rsid w:val="009C0FBC"/>
    <w:rsid w:val="009C10DF"/>
    <w:rsid w:val="009C1256"/>
    <w:rsid w:val="009C1332"/>
    <w:rsid w:val="009C1B04"/>
    <w:rsid w:val="009C26CA"/>
    <w:rsid w:val="009C27DE"/>
    <w:rsid w:val="009C2BBF"/>
    <w:rsid w:val="009C2DEB"/>
    <w:rsid w:val="009C3173"/>
    <w:rsid w:val="009C31DD"/>
    <w:rsid w:val="009C3C1C"/>
    <w:rsid w:val="009C467F"/>
    <w:rsid w:val="009C4CC6"/>
    <w:rsid w:val="009C52C3"/>
    <w:rsid w:val="009C52E9"/>
    <w:rsid w:val="009C5C4C"/>
    <w:rsid w:val="009C6125"/>
    <w:rsid w:val="009C62F9"/>
    <w:rsid w:val="009C6454"/>
    <w:rsid w:val="009C662E"/>
    <w:rsid w:val="009C6970"/>
    <w:rsid w:val="009C7175"/>
    <w:rsid w:val="009C7726"/>
    <w:rsid w:val="009C7A61"/>
    <w:rsid w:val="009C7E76"/>
    <w:rsid w:val="009D0E10"/>
    <w:rsid w:val="009D10D7"/>
    <w:rsid w:val="009D12B6"/>
    <w:rsid w:val="009D1405"/>
    <w:rsid w:val="009D1CCC"/>
    <w:rsid w:val="009D1DD0"/>
    <w:rsid w:val="009D2016"/>
    <w:rsid w:val="009D27C7"/>
    <w:rsid w:val="009D2E49"/>
    <w:rsid w:val="009D2F00"/>
    <w:rsid w:val="009D3072"/>
    <w:rsid w:val="009D3363"/>
    <w:rsid w:val="009D364E"/>
    <w:rsid w:val="009D3A0C"/>
    <w:rsid w:val="009D3D0D"/>
    <w:rsid w:val="009D401E"/>
    <w:rsid w:val="009D4072"/>
    <w:rsid w:val="009D4351"/>
    <w:rsid w:val="009D4604"/>
    <w:rsid w:val="009D4F60"/>
    <w:rsid w:val="009D50E7"/>
    <w:rsid w:val="009D560B"/>
    <w:rsid w:val="009D5F1B"/>
    <w:rsid w:val="009D6891"/>
    <w:rsid w:val="009D69B0"/>
    <w:rsid w:val="009D73F4"/>
    <w:rsid w:val="009E0EDA"/>
    <w:rsid w:val="009E182A"/>
    <w:rsid w:val="009E2210"/>
    <w:rsid w:val="009E229E"/>
    <w:rsid w:val="009E2684"/>
    <w:rsid w:val="009E28DD"/>
    <w:rsid w:val="009E2D5D"/>
    <w:rsid w:val="009E30D9"/>
    <w:rsid w:val="009E318A"/>
    <w:rsid w:val="009E338A"/>
    <w:rsid w:val="009E3624"/>
    <w:rsid w:val="009E38EB"/>
    <w:rsid w:val="009E3BA3"/>
    <w:rsid w:val="009E405E"/>
    <w:rsid w:val="009E41E2"/>
    <w:rsid w:val="009E4A47"/>
    <w:rsid w:val="009E517B"/>
    <w:rsid w:val="009E5B80"/>
    <w:rsid w:val="009E5CF8"/>
    <w:rsid w:val="009E6A64"/>
    <w:rsid w:val="009E6DF0"/>
    <w:rsid w:val="009E6E88"/>
    <w:rsid w:val="009E6EB5"/>
    <w:rsid w:val="009E6FD1"/>
    <w:rsid w:val="009E7816"/>
    <w:rsid w:val="009E7C36"/>
    <w:rsid w:val="009E7E58"/>
    <w:rsid w:val="009E7FBB"/>
    <w:rsid w:val="009F0296"/>
    <w:rsid w:val="009F0525"/>
    <w:rsid w:val="009F05AA"/>
    <w:rsid w:val="009F0792"/>
    <w:rsid w:val="009F0A89"/>
    <w:rsid w:val="009F17D4"/>
    <w:rsid w:val="009F22AE"/>
    <w:rsid w:val="009F2ACC"/>
    <w:rsid w:val="009F2B6A"/>
    <w:rsid w:val="009F2F9F"/>
    <w:rsid w:val="009F3992"/>
    <w:rsid w:val="009F3D44"/>
    <w:rsid w:val="009F3FC7"/>
    <w:rsid w:val="009F41A5"/>
    <w:rsid w:val="009F4513"/>
    <w:rsid w:val="009F482B"/>
    <w:rsid w:val="009F48A4"/>
    <w:rsid w:val="009F4B75"/>
    <w:rsid w:val="009F4C71"/>
    <w:rsid w:val="009F52EE"/>
    <w:rsid w:val="009F534E"/>
    <w:rsid w:val="009F574F"/>
    <w:rsid w:val="009F5D20"/>
    <w:rsid w:val="009F602F"/>
    <w:rsid w:val="009F68B3"/>
    <w:rsid w:val="009F69BB"/>
    <w:rsid w:val="009F6B13"/>
    <w:rsid w:val="009F7E19"/>
    <w:rsid w:val="00A00033"/>
    <w:rsid w:val="00A00B42"/>
    <w:rsid w:val="00A00F47"/>
    <w:rsid w:val="00A01067"/>
    <w:rsid w:val="00A01849"/>
    <w:rsid w:val="00A018CC"/>
    <w:rsid w:val="00A01DCE"/>
    <w:rsid w:val="00A02276"/>
    <w:rsid w:val="00A02594"/>
    <w:rsid w:val="00A036B8"/>
    <w:rsid w:val="00A03FEE"/>
    <w:rsid w:val="00A04867"/>
    <w:rsid w:val="00A048F9"/>
    <w:rsid w:val="00A05012"/>
    <w:rsid w:val="00A05030"/>
    <w:rsid w:val="00A056B7"/>
    <w:rsid w:val="00A057AA"/>
    <w:rsid w:val="00A05DA6"/>
    <w:rsid w:val="00A05E43"/>
    <w:rsid w:val="00A06A74"/>
    <w:rsid w:val="00A06BE1"/>
    <w:rsid w:val="00A06E04"/>
    <w:rsid w:val="00A07630"/>
    <w:rsid w:val="00A077A3"/>
    <w:rsid w:val="00A0794D"/>
    <w:rsid w:val="00A07D61"/>
    <w:rsid w:val="00A10296"/>
    <w:rsid w:val="00A10770"/>
    <w:rsid w:val="00A10978"/>
    <w:rsid w:val="00A10E0C"/>
    <w:rsid w:val="00A1245C"/>
    <w:rsid w:val="00A12857"/>
    <w:rsid w:val="00A132CC"/>
    <w:rsid w:val="00A13451"/>
    <w:rsid w:val="00A13A7F"/>
    <w:rsid w:val="00A13C89"/>
    <w:rsid w:val="00A13CA6"/>
    <w:rsid w:val="00A140B5"/>
    <w:rsid w:val="00A142A3"/>
    <w:rsid w:val="00A1436B"/>
    <w:rsid w:val="00A143BB"/>
    <w:rsid w:val="00A149FF"/>
    <w:rsid w:val="00A14ED4"/>
    <w:rsid w:val="00A157FE"/>
    <w:rsid w:val="00A15806"/>
    <w:rsid w:val="00A16113"/>
    <w:rsid w:val="00A1682F"/>
    <w:rsid w:val="00A168B0"/>
    <w:rsid w:val="00A16BE7"/>
    <w:rsid w:val="00A17019"/>
    <w:rsid w:val="00A1751A"/>
    <w:rsid w:val="00A20108"/>
    <w:rsid w:val="00A20296"/>
    <w:rsid w:val="00A203D8"/>
    <w:rsid w:val="00A20465"/>
    <w:rsid w:val="00A204FB"/>
    <w:rsid w:val="00A206CA"/>
    <w:rsid w:val="00A21005"/>
    <w:rsid w:val="00A21DDA"/>
    <w:rsid w:val="00A21E17"/>
    <w:rsid w:val="00A221F3"/>
    <w:rsid w:val="00A227A1"/>
    <w:rsid w:val="00A227E2"/>
    <w:rsid w:val="00A234F0"/>
    <w:rsid w:val="00A239CA"/>
    <w:rsid w:val="00A24176"/>
    <w:rsid w:val="00A241FB"/>
    <w:rsid w:val="00A25633"/>
    <w:rsid w:val="00A25A61"/>
    <w:rsid w:val="00A26003"/>
    <w:rsid w:val="00A2609C"/>
    <w:rsid w:val="00A26337"/>
    <w:rsid w:val="00A26653"/>
    <w:rsid w:val="00A26AAA"/>
    <w:rsid w:val="00A26FC7"/>
    <w:rsid w:val="00A276B2"/>
    <w:rsid w:val="00A2775F"/>
    <w:rsid w:val="00A27801"/>
    <w:rsid w:val="00A27EBA"/>
    <w:rsid w:val="00A30317"/>
    <w:rsid w:val="00A30DF2"/>
    <w:rsid w:val="00A31234"/>
    <w:rsid w:val="00A31468"/>
    <w:rsid w:val="00A31926"/>
    <w:rsid w:val="00A31B59"/>
    <w:rsid w:val="00A31B8A"/>
    <w:rsid w:val="00A320CC"/>
    <w:rsid w:val="00A32676"/>
    <w:rsid w:val="00A33513"/>
    <w:rsid w:val="00A33599"/>
    <w:rsid w:val="00A33D90"/>
    <w:rsid w:val="00A34082"/>
    <w:rsid w:val="00A34753"/>
    <w:rsid w:val="00A349E2"/>
    <w:rsid w:val="00A34BAF"/>
    <w:rsid w:val="00A34EAF"/>
    <w:rsid w:val="00A34F6A"/>
    <w:rsid w:val="00A35EF3"/>
    <w:rsid w:val="00A3606D"/>
    <w:rsid w:val="00A3641F"/>
    <w:rsid w:val="00A36DE5"/>
    <w:rsid w:val="00A36F08"/>
    <w:rsid w:val="00A3731B"/>
    <w:rsid w:val="00A40470"/>
    <w:rsid w:val="00A40C8F"/>
    <w:rsid w:val="00A40EF6"/>
    <w:rsid w:val="00A410C5"/>
    <w:rsid w:val="00A41769"/>
    <w:rsid w:val="00A41CB2"/>
    <w:rsid w:val="00A42352"/>
    <w:rsid w:val="00A424C8"/>
    <w:rsid w:val="00A426BC"/>
    <w:rsid w:val="00A428BB"/>
    <w:rsid w:val="00A42A45"/>
    <w:rsid w:val="00A435FA"/>
    <w:rsid w:val="00A4390B"/>
    <w:rsid w:val="00A43966"/>
    <w:rsid w:val="00A43FF8"/>
    <w:rsid w:val="00A441A5"/>
    <w:rsid w:val="00A4492B"/>
    <w:rsid w:val="00A44A4A"/>
    <w:rsid w:val="00A44B68"/>
    <w:rsid w:val="00A45D49"/>
    <w:rsid w:val="00A45E38"/>
    <w:rsid w:val="00A46424"/>
    <w:rsid w:val="00A46594"/>
    <w:rsid w:val="00A465FC"/>
    <w:rsid w:val="00A46A70"/>
    <w:rsid w:val="00A46CA3"/>
    <w:rsid w:val="00A4786D"/>
    <w:rsid w:val="00A47BA8"/>
    <w:rsid w:val="00A47C05"/>
    <w:rsid w:val="00A47D7A"/>
    <w:rsid w:val="00A5056F"/>
    <w:rsid w:val="00A50C15"/>
    <w:rsid w:val="00A50D38"/>
    <w:rsid w:val="00A515E0"/>
    <w:rsid w:val="00A51640"/>
    <w:rsid w:val="00A51713"/>
    <w:rsid w:val="00A51B7F"/>
    <w:rsid w:val="00A5320D"/>
    <w:rsid w:val="00A533EC"/>
    <w:rsid w:val="00A53936"/>
    <w:rsid w:val="00A53F29"/>
    <w:rsid w:val="00A54014"/>
    <w:rsid w:val="00A5408E"/>
    <w:rsid w:val="00A54F7F"/>
    <w:rsid w:val="00A550AA"/>
    <w:rsid w:val="00A5513C"/>
    <w:rsid w:val="00A55272"/>
    <w:rsid w:val="00A55774"/>
    <w:rsid w:val="00A558F8"/>
    <w:rsid w:val="00A56327"/>
    <w:rsid w:val="00A566C1"/>
    <w:rsid w:val="00A568D2"/>
    <w:rsid w:val="00A5733C"/>
    <w:rsid w:val="00A576B4"/>
    <w:rsid w:val="00A5787A"/>
    <w:rsid w:val="00A578CB"/>
    <w:rsid w:val="00A57959"/>
    <w:rsid w:val="00A57978"/>
    <w:rsid w:val="00A57C0A"/>
    <w:rsid w:val="00A603B9"/>
    <w:rsid w:val="00A60617"/>
    <w:rsid w:val="00A60A95"/>
    <w:rsid w:val="00A610D2"/>
    <w:rsid w:val="00A61602"/>
    <w:rsid w:val="00A6175D"/>
    <w:rsid w:val="00A621B0"/>
    <w:rsid w:val="00A62A0B"/>
    <w:rsid w:val="00A62AB7"/>
    <w:rsid w:val="00A63195"/>
    <w:rsid w:val="00A6333F"/>
    <w:rsid w:val="00A63452"/>
    <w:rsid w:val="00A639D2"/>
    <w:rsid w:val="00A63B4A"/>
    <w:rsid w:val="00A63C32"/>
    <w:rsid w:val="00A63DCE"/>
    <w:rsid w:val="00A644D9"/>
    <w:rsid w:val="00A644EE"/>
    <w:rsid w:val="00A64B26"/>
    <w:rsid w:val="00A64F87"/>
    <w:rsid w:val="00A65198"/>
    <w:rsid w:val="00A6629B"/>
    <w:rsid w:val="00A6642B"/>
    <w:rsid w:val="00A66521"/>
    <w:rsid w:val="00A665AD"/>
    <w:rsid w:val="00A6697C"/>
    <w:rsid w:val="00A66DCC"/>
    <w:rsid w:val="00A67305"/>
    <w:rsid w:val="00A67658"/>
    <w:rsid w:val="00A67825"/>
    <w:rsid w:val="00A67DE8"/>
    <w:rsid w:val="00A7048D"/>
    <w:rsid w:val="00A70AEA"/>
    <w:rsid w:val="00A70E33"/>
    <w:rsid w:val="00A70EAB"/>
    <w:rsid w:val="00A713DE"/>
    <w:rsid w:val="00A71773"/>
    <w:rsid w:val="00A71E80"/>
    <w:rsid w:val="00A720EE"/>
    <w:rsid w:val="00A7248E"/>
    <w:rsid w:val="00A72825"/>
    <w:rsid w:val="00A72ADC"/>
    <w:rsid w:val="00A72BAE"/>
    <w:rsid w:val="00A731C7"/>
    <w:rsid w:val="00A73777"/>
    <w:rsid w:val="00A73E08"/>
    <w:rsid w:val="00A74297"/>
    <w:rsid w:val="00A74E04"/>
    <w:rsid w:val="00A75C02"/>
    <w:rsid w:val="00A75C8C"/>
    <w:rsid w:val="00A76363"/>
    <w:rsid w:val="00A764F7"/>
    <w:rsid w:val="00A77489"/>
    <w:rsid w:val="00A77860"/>
    <w:rsid w:val="00A7788E"/>
    <w:rsid w:val="00A7791E"/>
    <w:rsid w:val="00A77FE0"/>
    <w:rsid w:val="00A801B7"/>
    <w:rsid w:val="00A80270"/>
    <w:rsid w:val="00A80FC4"/>
    <w:rsid w:val="00A81599"/>
    <w:rsid w:val="00A81697"/>
    <w:rsid w:val="00A81F5A"/>
    <w:rsid w:val="00A81FC0"/>
    <w:rsid w:val="00A82473"/>
    <w:rsid w:val="00A8252B"/>
    <w:rsid w:val="00A825DD"/>
    <w:rsid w:val="00A82A36"/>
    <w:rsid w:val="00A83D09"/>
    <w:rsid w:val="00A83FF3"/>
    <w:rsid w:val="00A8458D"/>
    <w:rsid w:val="00A84655"/>
    <w:rsid w:val="00A85CCE"/>
    <w:rsid w:val="00A8637B"/>
    <w:rsid w:val="00A8669F"/>
    <w:rsid w:val="00A8678B"/>
    <w:rsid w:val="00A86902"/>
    <w:rsid w:val="00A86B8A"/>
    <w:rsid w:val="00A873C2"/>
    <w:rsid w:val="00A87B39"/>
    <w:rsid w:val="00A90187"/>
    <w:rsid w:val="00A9018D"/>
    <w:rsid w:val="00A901EC"/>
    <w:rsid w:val="00A90E78"/>
    <w:rsid w:val="00A91136"/>
    <w:rsid w:val="00A91221"/>
    <w:rsid w:val="00A92284"/>
    <w:rsid w:val="00A9289D"/>
    <w:rsid w:val="00A936A9"/>
    <w:rsid w:val="00A93805"/>
    <w:rsid w:val="00A9487E"/>
    <w:rsid w:val="00A94D5A"/>
    <w:rsid w:val="00A94F34"/>
    <w:rsid w:val="00A95591"/>
    <w:rsid w:val="00A955EE"/>
    <w:rsid w:val="00A96035"/>
    <w:rsid w:val="00A96752"/>
    <w:rsid w:val="00A96A00"/>
    <w:rsid w:val="00A96B2F"/>
    <w:rsid w:val="00A96B83"/>
    <w:rsid w:val="00A970F8"/>
    <w:rsid w:val="00A97CF1"/>
    <w:rsid w:val="00A97E15"/>
    <w:rsid w:val="00AA0244"/>
    <w:rsid w:val="00AA091E"/>
    <w:rsid w:val="00AA262F"/>
    <w:rsid w:val="00AA2BB8"/>
    <w:rsid w:val="00AA2C01"/>
    <w:rsid w:val="00AA3018"/>
    <w:rsid w:val="00AA34E4"/>
    <w:rsid w:val="00AA3DC7"/>
    <w:rsid w:val="00AA42F9"/>
    <w:rsid w:val="00AA624B"/>
    <w:rsid w:val="00AA6614"/>
    <w:rsid w:val="00AA7508"/>
    <w:rsid w:val="00AA785D"/>
    <w:rsid w:val="00AB024A"/>
    <w:rsid w:val="00AB0624"/>
    <w:rsid w:val="00AB099B"/>
    <w:rsid w:val="00AB14A2"/>
    <w:rsid w:val="00AB1FBE"/>
    <w:rsid w:val="00AB308B"/>
    <w:rsid w:val="00AB32BB"/>
    <w:rsid w:val="00AB3D8A"/>
    <w:rsid w:val="00AB4943"/>
    <w:rsid w:val="00AB4F7A"/>
    <w:rsid w:val="00AB59AB"/>
    <w:rsid w:val="00AB5BA3"/>
    <w:rsid w:val="00AB5F19"/>
    <w:rsid w:val="00AB6070"/>
    <w:rsid w:val="00AB624F"/>
    <w:rsid w:val="00AB6B3C"/>
    <w:rsid w:val="00AB6F1A"/>
    <w:rsid w:val="00AB7152"/>
    <w:rsid w:val="00AB76CE"/>
    <w:rsid w:val="00AB7952"/>
    <w:rsid w:val="00AB7F90"/>
    <w:rsid w:val="00AC035A"/>
    <w:rsid w:val="00AC0809"/>
    <w:rsid w:val="00AC0917"/>
    <w:rsid w:val="00AC0B2D"/>
    <w:rsid w:val="00AC0B67"/>
    <w:rsid w:val="00AC0CBA"/>
    <w:rsid w:val="00AC1080"/>
    <w:rsid w:val="00AC119E"/>
    <w:rsid w:val="00AC178B"/>
    <w:rsid w:val="00AC221B"/>
    <w:rsid w:val="00AC2311"/>
    <w:rsid w:val="00AC3BCB"/>
    <w:rsid w:val="00AC4D5B"/>
    <w:rsid w:val="00AC4E2D"/>
    <w:rsid w:val="00AC5032"/>
    <w:rsid w:val="00AC5289"/>
    <w:rsid w:val="00AC5A10"/>
    <w:rsid w:val="00AC5B39"/>
    <w:rsid w:val="00AC639D"/>
    <w:rsid w:val="00AC75FB"/>
    <w:rsid w:val="00AC79BB"/>
    <w:rsid w:val="00AC7F0B"/>
    <w:rsid w:val="00AD0940"/>
    <w:rsid w:val="00AD09B4"/>
    <w:rsid w:val="00AD0AA5"/>
    <w:rsid w:val="00AD0E0D"/>
    <w:rsid w:val="00AD131E"/>
    <w:rsid w:val="00AD1488"/>
    <w:rsid w:val="00AD1586"/>
    <w:rsid w:val="00AD1667"/>
    <w:rsid w:val="00AD17EC"/>
    <w:rsid w:val="00AD1848"/>
    <w:rsid w:val="00AD1A7A"/>
    <w:rsid w:val="00AD1D0A"/>
    <w:rsid w:val="00AD1EC1"/>
    <w:rsid w:val="00AD22A9"/>
    <w:rsid w:val="00AD2898"/>
    <w:rsid w:val="00AD293A"/>
    <w:rsid w:val="00AD2B77"/>
    <w:rsid w:val="00AD2BE4"/>
    <w:rsid w:val="00AD2E0E"/>
    <w:rsid w:val="00AD2FCA"/>
    <w:rsid w:val="00AD34C8"/>
    <w:rsid w:val="00AD3682"/>
    <w:rsid w:val="00AD36F4"/>
    <w:rsid w:val="00AD3AC0"/>
    <w:rsid w:val="00AD5BE4"/>
    <w:rsid w:val="00AD6849"/>
    <w:rsid w:val="00AD7250"/>
    <w:rsid w:val="00AD7440"/>
    <w:rsid w:val="00AD77A0"/>
    <w:rsid w:val="00AE07F5"/>
    <w:rsid w:val="00AE1D95"/>
    <w:rsid w:val="00AE1EDB"/>
    <w:rsid w:val="00AE2DB8"/>
    <w:rsid w:val="00AE2F1A"/>
    <w:rsid w:val="00AE3A20"/>
    <w:rsid w:val="00AE3DB8"/>
    <w:rsid w:val="00AE411A"/>
    <w:rsid w:val="00AE446A"/>
    <w:rsid w:val="00AE4BA8"/>
    <w:rsid w:val="00AE5B6C"/>
    <w:rsid w:val="00AE5DAE"/>
    <w:rsid w:val="00AE6673"/>
    <w:rsid w:val="00AE6DEF"/>
    <w:rsid w:val="00AE7103"/>
    <w:rsid w:val="00AE712F"/>
    <w:rsid w:val="00AE75EC"/>
    <w:rsid w:val="00AE7BD0"/>
    <w:rsid w:val="00AE7E69"/>
    <w:rsid w:val="00AE7F13"/>
    <w:rsid w:val="00AF0106"/>
    <w:rsid w:val="00AF12A6"/>
    <w:rsid w:val="00AF12D9"/>
    <w:rsid w:val="00AF1A70"/>
    <w:rsid w:val="00AF2684"/>
    <w:rsid w:val="00AF2808"/>
    <w:rsid w:val="00AF2DE6"/>
    <w:rsid w:val="00AF354B"/>
    <w:rsid w:val="00AF4E65"/>
    <w:rsid w:val="00AF4F00"/>
    <w:rsid w:val="00AF57D7"/>
    <w:rsid w:val="00AF5BE1"/>
    <w:rsid w:val="00AF5D4D"/>
    <w:rsid w:val="00AF5E6A"/>
    <w:rsid w:val="00AF6DCA"/>
    <w:rsid w:val="00AF7610"/>
    <w:rsid w:val="00AF7B73"/>
    <w:rsid w:val="00AF7FDD"/>
    <w:rsid w:val="00B00205"/>
    <w:rsid w:val="00B004B2"/>
    <w:rsid w:val="00B0092C"/>
    <w:rsid w:val="00B02535"/>
    <w:rsid w:val="00B026B4"/>
    <w:rsid w:val="00B02AF7"/>
    <w:rsid w:val="00B02BCA"/>
    <w:rsid w:val="00B02ED7"/>
    <w:rsid w:val="00B03073"/>
    <w:rsid w:val="00B0389B"/>
    <w:rsid w:val="00B039ED"/>
    <w:rsid w:val="00B04022"/>
    <w:rsid w:val="00B041D5"/>
    <w:rsid w:val="00B04D19"/>
    <w:rsid w:val="00B0627C"/>
    <w:rsid w:val="00B06ECC"/>
    <w:rsid w:val="00B10558"/>
    <w:rsid w:val="00B1092B"/>
    <w:rsid w:val="00B111B2"/>
    <w:rsid w:val="00B12927"/>
    <w:rsid w:val="00B129CF"/>
    <w:rsid w:val="00B12B71"/>
    <w:rsid w:val="00B12DE7"/>
    <w:rsid w:val="00B130A1"/>
    <w:rsid w:val="00B13C65"/>
    <w:rsid w:val="00B13D51"/>
    <w:rsid w:val="00B14238"/>
    <w:rsid w:val="00B14277"/>
    <w:rsid w:val="00B142F5"/>
    <w:rsid w:val="00B148B2"/>
    <w:rsid w:val="00B14B05"/>
    <w:rsid w:val="00B14C01"/>
    <w:rsid w:val="00B15047"/>
    <w:rsid w:val="00B159EA"/>
    <w:rsid w:val="00B15ACD"/>
    <w:rsid w:val="00B164E6"/>
    <w:rsid w:val="00B164E9"/>
    <w:rsid w:val="00B16596"/>
    <w:rsid w:val="00B16742"/>
    <w:rsid w:val="00B16FC5"/>
    <w:rsid w:val="00B1732E"/>
    <w:rsid w:val="00B20BB6"/>
    <w:rsid w:val="00B212BD"/>
    <w:rsid w:val="00B21BEA"/>
    <w:rsid w:val="00B21FA2"/>
    <w:rsid w:val="00B2261F"/>
    <w:rsid w:val="00B2276A"/>
    <w:rsid w:val="00B22878"/>
    <w:rsid w:val="00B231CF"/>
    <w:rsid w:val="00B2339F"/>
    <w:rsid w:val="00B23784"/>
    <w:rsid w:val="00B23AC2"/>
    <w:rsid w:val="00B23D8C"/>
    <w:rsid w:val="00B24C3B"/>
    <w:rsid w:val="00B25BF7"/>
    <w:rsid w:val="00B25DDA"/>
    <w:rsid w:val="00B2608B"/>
    <w:rsid w:val="00B269B0"/>
    <w:rsid w:val="00B26BB2"/>
    <w:rsid w:val="00B27FD9"/>
    <w:rsid w:val="00B3144B"/>
    <w:rsid w:val="00B316DF"/>
    <w:rsid w:val="00B3177F"/>
    <w:rsid w:val="00B31829"/>
    <w:rsid w:val="00B3185A"/>
    <w:rsid w:val="00B322B2"/>
    <w:rsid w:val="00B32910"/>
    <w:rsid w:val="00B32E81"/>
    <w:rsid w:val="00B3353A"/>
    <w:rsid w:val="00B33790"/>
    <w:rsid w:val="00B337F7"/>
    <w:rsid w:val="00B3386C"/>
    <w:rsid w:val="00B33DD9"/>
    <w:rsid w:val="00B34362"/>
    <w:rsid w:val="00B34B3C"/>
    <w:rsid w:val="00B34ED9"/>
    <w:rsid w:val="00B35232"/>
    <w:rsid w:val="00B35523"/>
    <w:rsid w:val="00B355E9"/>
    <w:rsid w:val="00B35E12"/>
    <w:rsid w:val="00B3646A"/>
    <w:rsid w:val="00B36CFD"/>
    <w:rsid w:val="00B37412"/>
    <w:rsid w:val="00B3751D"/>
    <w:rsid w:val="00B3765E"/>
    <w:rsid w:val="00B37AC0"/>
    <w:rsid w:val="00B37CB7"/>
    <w:rsid w:val="00B37E55"/>
    <w:rsid w:val="00B40773"/>
    <w:rsid w:val="00B40E42"/>
    <w:rsid w:val="00B41976"/>
    <w:rsid w:val="00B41AB9"/>
    <w:rsid w:val="00B41CB6"/>
    <w:rsid w:val="00B41ED1"/>
    <w:rsid w:val="00B42A75"/>
    <w:rsid w:val="00B42B88"/>
    <w:rsid w:val="00B43A89"/>
    <w:rsid w:val="00B43DE7"/>
    <w:rsid w:val="00B44376"/>
    <w:rsid w:val="00B44C53"/>
    <w:rsid w:val="00B45736"/>
    <w:rsid w:val="00B4579D"/>
    <w:rsid w:val="00B45F42"/>
    <w:rsid w:val="00B464D7"/>
    <w:rsid w:val="00B47495"/>
    <w:rsid w:val="00B4760D"/>
    <w:rsid w:val="00B47BD0"/>
    <w:rsid w:val="00B50251"/>
    <w:rsid w:val="00B50F44"/>
    <w:rsid w:val="00B514BB"/>
    <w:rsid w:val="00B51513"/>
    <w:rsid w:val="00B51707"/>
    <w:rsid w:val="00B51AD7"/>
    <w:rsid w:val="00B51D31"/>
    <w:rsid w:val="00B520E2"/>
    <w:rsid w:val="00B5304A"/>
    <w:rsid w:val="00B532A3"/>
    <w:rsid w:val="00B53DA0"/>
    <w:rsid w:val="00B54421"/>
    <w:rsid w:val="00B547DA"/>
    <w:rsid w:val="00B548D4"/>
    <w:rsid w:val="00B551C9"/>
    <w:rsid w:val="00B553B0"/>
    <w:rsid w:val="00B553B4"/>
    <w:rsid w:val="00B556F0"/>
    <w:rsid w:val="00B55835"/>
    <w:rsid w:val="00B55C60"/>
    <w:rsid w:val="00B55C6A"/>
    <w:rsid w:val="00B563BE"/>
    <w:rsid w:val="00B56C94"/>
    <w:rsid w:val="00B601F7"/>
    <w:rsid w:val="00B6028C"/>
    <w:rsid w:val="00B603FB"/>
    <w:rsid w:val="00B608A1"/>
    <w:rsid w:val="00B60A02"/>
    <w:rsid w:val="00B60F01"/>
    <w:rsid w:val="00B6127A"/>
    <w:rsid w:val="00B615DB"/>
    <w:rsid w:val="00B615EB"/>
    <w:rsid w:val="00B6197A"/>
    <w:rsid w:val="00B61AD3"/>
    <w:rsid w:val="00B62513"/>
    <w:rsid w:val="00B63745"/>
    <w:rsid w:val="00B63C13"/>
    <w:rsid w:val="00B63F2A"/>
    <w:rsid w:val="00B6494B"/>
    <w:rsid w:val="00B64F51"/>
    <w:rsid w:val="00B64F63"/>
    <w:rsid w:val="00B6522C"/>
    <w:rsid w:val="00B653BA"/>
    <w:rsid w:val="00B656B8"/>
    <w:rsid w:val="00B65B2B"/>
    <w:rsid w:val="00B65BA7"/>
    <w:rsid w:val="00B65D59"/>
    <w:rsid w:val="00B66A82"/>
    <w:rsid w:val="00B671CE"/>
    <w:rsid w:val="00B678DF"/>
    <w:rsid w:val="00B70569"/>
    <w:rsid w:val="00B718F6"/>
    <w:rsid w:val="00B71990"/>
    <w:rsid w:val="00B71ED8"/>
    <w:rsid w:val="00B72160"/>
    <w:rsid w:val="00B73AF8"/>
    <w:rsid w:val="00B73B9E"/>
    <w:rsid w:val="00B74055"/>
    <w:rsid w:val="00B74179"/>
    <w:rsid w:val="00B74310"/>
    <w:rsid w:val="00B74922"/>
    <w:rsid w:val="00B7495A"/>
    <w:rsid w:val="00B75175"/>
    <w:rsid w:val="00B752FE"/>
    <w:rsid w:val="00B754AB"/>
    <w:rsid w:val="00B7556B"/>
    <w:rsid w:val="00B75741"/>
    <w:rsid w:val="00B75830"/>
    <w:rsid w:val="00B75B8F"/>
    <w:rsid w:val="00B768FA"/>
    <w:rsid w:val="00B76BDF"/>
    <w:rsid w:val="00B76C80"/>
    <w:rsid w:val="00B775D0"/>
    <w:rsid w:val="00B7762E"/>
    <w:rsid w:val="00B77DEC"/>
    <w:rsid w:val="00B77E56"/>
    <w:rsid w:val="00B8047F"/>
    <w:rsid w:val="00B804CA"/>
    <w:rsid w:val="00B808D7"/>
    <w:rsid w:val="00B8094C"/>
    <w:rsid w:val="00B81245"/>
    <w:rsid w:val="00B81339"/>
    <w:rsid w:val="00B81462"/>
    <w:rsid w:val="00B81546"/>
    <w:rsid w:val="00B818ED"/>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6072"/>
    <w:rsid w:val="00B86140"/>
    <w:rsid w:val="00B86656"/>
    <w:rsid w:val="00B86B63"/>
    <w:rsid w:val="00B8709F"/>
    <w:rsid w:val="00B8787A"/>
    <w:rsid w:val="00B9072C"/>
    <w:rsid w:val="00B91CDD"/>
    <w:rsid w:val="00B91E0B"/>
    <w:rsid w:val="00B920EE"/>
    <w:rsid w:val="00B9304C"/>
    <w:rsid w:val="00B93860"/>
    <w:rsid w:val="00B93AE8"/>
    <w:rsid w:val="00B94CF7"/>
    <w:rsid w:val="00B95133"/>
    <w:rsid w:val="00B95C9C"/>
    <w:rsid w:val="00B95FE9"/>
    <w:rsid w:val="00B96107"/>
    <w:rsid w:val="00B963AF"/>
    <w:rsid w:val="00B96664"/>
    <w:rsid w:val="00B96954"/>
    <w:rsid w:val="00B96B28"/>
    <w:rsid w:val="00B9705F"/>
    <w:rsid w:val="00B97B20"/>
    <w:rsid w:val="00BA05B2"/>
    <w:rsid w:val="00BA0E34"/>
    <w:rsid w:val="00BA114D"/>
    <w:rsid w:val="00BA2A18"/>
    <w:rsid w:val="00BA3793"/>
    <w:rsid w:val="00BA3FC3"/>
    <w:rsid w:val="00BA48E7"/>
    <w:rsid w:val="00BA5070"/>
    <w:rsid w:val="00BA50B3"/>
    <w:rsid w:val="00BA5141"/>
    <w:rsid w:val="00BA523A"/>
    <w:rsid w:val="00BA5877"/>
    <w:rsid w:val="00BA5C9C"/>
    <w:rsid w:val="00BA5F26"/>
    <w:rsid w:val="00BA6342"/>
    <w:rsid w:val="00BA6560"/>
    <w:rsid w:val="00BA68C0"/>
    <w:rsid w:val="00BA6CBB"/>
    <w:rsid w:val="00BA70F5"/>
    <w:rsid w:val="00BA7819"/>
    <w:rsid w:val="00BA79FE"/>
    <w:rsid w:val="00BB073E"/>
    <w:rsid w:val="00BB09C4"/>
    <w:rsid w:val="00BB0A24"/>
    <w:rsid w:val="00BB0C17"/>
    <w:rsid w:val="00BB0DC4"/>
    <w:rsid w:val="00BB0ED6"/>
    <w:rsid w:val="00BB1DC6"/>
    <w:rsid w:val="00BB2117"/>
    <w:rsid w:val="00BB24B0"/>
    <w:rsid w:val="00BB260F"/>
    <w:rsid w:val="00BB29FD"/>
    <w:rsid w:val="00BB2B6C"/>
    <w:rsid w:val="00BB2FF0"/>
    <w:rsid w:val="00BB3084"/>
    <w:rsid w:val="00BB3659"/>
    <w:rsid w:val="00BB3662"/>
    <w:rsid w:val="00BB3BFB"/>
    <w:rsid w:val="00BB3C37"/>
    <w:rsid w:val="00BB3C89"/>
    <w:rsid w:val="00BB3D28"/>
    <w:rsid w:val="00BB43D8"/>
    <w:rsid w:val="00BB4CA1"/>
    <w:rsid w:val="00BB4E45"/>
    <w:rsid w:val="00BB4E48"/>
    <w:rsid w:val="00BB50F9"/>
    <w:rsid w:val="00BB54F3"/>
    <w:rsid w:val="00BB5743"/>
    <w:rsid w:val="00BB5ABF"/>
    <w:rsid w:val="00BB5FAE"/>
    <w:rsid w:val="00BB6405"/>
    <w:rsid w:val="00BB69CA"/>
    <w:rsid w:val="00BB6A26"/>
    <w:rsid w:val="00BB7703"/>
    <w:rsid w:val="00BB7B8E"/>
    <w:rsid w:val="00BC02B5"/>
    <w:rsid w:val="00BC03A9"/>
    <w:rsid w:val="00BC1069"/>
    <w:rsid w:val="00BC1416"/>
    <w:rsid w:val="00BC1810"/>
    <w:rsid w:val="00BC1837"/>
    <w:rsid w:val="00BC2056"/>
    <w:rsid w:val="00BC25BE"/>
    <w:rsid w:val="00BC26E8"/>
    <w:rsid w:val="00BC29E3"/>
    <w:rsid w:val="00BC2EDA"/>
    <w:rsid w:val="00BC30F9"/>
    <w:rsid w:val="00BC3359"/>
    <w:rsid w:val="00BC3953"/>
    <w:rsid w:val="00BC3ABD"/>
    <w:rsid w:val="00BC40BF"/>
    <w:rsid w:val="00BC416B"/>
    <w:rsid w:val="00BC4963"/>
    <w:rsid w:val="00BC4C21"/>
    <w:rsid w:val="00BC537B"/>
    <w:rsid w:val="00BC555E"/>
    <w:rsid w:val="00BC6579"/>
    <w:rsid w:val="00BC6F20"/>
    <w:rsid w:val="00BC73EC"/>
    <w:rsid w:val="00BC749B"/>
    <w:rsid w:val="00BD062F"/>
    <w:rsid w:val="00BD0FD2"/>
    <w:rsid w:val="00BD17AB"/>
    <w:rsid w:val="00BD19F6"/>
    <w:rsid w:val="00BD216F"/>
    <w:rsid w:val="00BD2263"/>
    <w:rsid w:val="00BD234B"/>
    <w:rsid w:val="00BD246D"/>
    <w:rsid w:val="00BD2530"/>
    <w:rsid w:val="00BD2C6C"/>
    <w:rsid w:val="00BD3356"/>
    <w:rsid w:val="00BD3374"/>
    <w:rsid w:val="00BD3625"/>
    <w:rsid w:val="00BD3852"/>
    <w:rsid w:val="00BD3C07"/>
    <w:rsid w:val="00BD50AB"/>
    <w:rsid w:val="00BD5591"/>
    <w:rsid w:val="00BD5F37"/>
    <w:rsid w:val="00BD5F70"/>
    <w:rsid w:val="00BD655A"/>
    <w:rsid w:val="00BD66BD"/>
    <w:rsid w:val="00BD66E4"/>
    <w:rsid w:val="00BD6F33"/>
    <w:rsid w:val="00BD6F93"/>
    <w:rsid w:val="00BD70F0"/>
    <w:rsid w:val="00BD73EC"/>
    <w:rsid w:val="00BD7847"/>
    <w:rsid w:val="00BD7C70"/>
    <w:rsid w:val="00BE0202"/>
    <w:rsid w:val="00BE07AA"/>
    <w:rsid w:val="00BE0D80"/>
    <w:rsid w:val="00BE13FE"/>
    <w:rsid w:val="00BE158A"/>
    <w:rsid w:val="00BE226F"/>
    <w:rsid w:val="00BE22CE"/>
    <w:rsid w:val="00BE254A"/>
    <w:rsid w:val="00BE2DBA"/>
    <w:rsid w:val="00BE2F11"/>
    <w:rsid w:val="00BE3B0E"/>
    <w:rsid w:val="00BE3B2F"/>
    <w:rsid w:val="00BE4272"/>
    <w:rsid w:val="00BE4931"/>
    <w:rsid w:val="00BE4F49"/>
    <w:rsid w:val="00BE5A85"/>
    <w:rsid w:val="00BE5B6F"/>
    <w:rsid w:val="00BE5D39"/>
    <w:rsid w:val="00BE5EB7"/>
    <w:rsid w:val="00BE644A"/>
    <w:rsid w:val="00BE67E7"/>
    <w:rsid w:val="00BE6D16"/>
    <w:rsid w:val="00BE7263"/>
    <w:rsid w:val="00BE75D5"/>
    <w:rsid w:val="00BE7DA3"/>
    <w:rsid w:val="00BF01F0"/>
    <w:rsid w:val="00BF0614"/>
    <w:rsid w:val="00BF0709"/>
    <w:rsid w:val="00BF0D91"/>
    <w:rsid w:val="00BF0E83"/>
    <w:rsid w:val="00BF10DD"/>
    <w:rsid w:val="00BF209C"/>
    <w:rsid w:val="00BF2AE1"/>
    <w:rsid w:val="00BF2E3B"/>
    <w:rsid w:val="00BF35F5"/>
    <w:rsid w:val="00BF3D87"/>
    <w:rsid w:val="00BF3DB5"/>
    <w:rsid w:val="00BF40B8"/>
    <w:rsid w:val="00BF44BB"/>
    <w:rsid w:val="00BF46E2"/>
    <w:rsid w:val="00BF4919"/>
    <w:rsid w:val="00BF542A"/>
    <w:rsid w:val="00BF6033"/>
    <w:rsid w:val="00BF6776"/>
    <w:rsid w:val="00BF7D90"/>
    <w:rsid w:val="00C001F6"/>
    <w:rsid w:val="00C00429"/>
    <w:rsid w:val="00C00681"/>
    <w:rsid w:val="00C008A3"/>
    <w:rsid w:val="00C01827"/>
    <w:rsid w:val="00C01A05"/>
    <w:rsid w:val="00C01DBD"/>
    <w:rsid w:val="00C0236E"/>
    <w:rsid w:val="00C02574"/>
    <w:rsid w:val="00C026F6"/>
    <w:rsid w:val="00C04089"/>
    <w:rsid w:val="00C0489D"/>
    <w:rsid w:val="00C04B9D"/>
    <w:rsid w:val="00C05081"/>
    <w:rsid w:val="00C05159"/>
    <w:rsid w:val="00C052B4"/>
    <w:rsid w:val="00C0559F"/>
    <w:rsid w:val="00C05D77"/>
    <w:rsid w:val="00C06093"/>
    <w:rsid w:val="00C06337"/>
    <w:rsid w:val="00C068AE"/>
    <w:rsid w:val="00C068D7"/>
    <w:rsid w:val="00C06C40"/>
    <w:rsid w:val="00C0741A"/>
    <w:rsid w:val="00C07C0B"/>
    <w:rsid w:val="00C10E7F"/>
    <w:rsid w:val="00C111AD"/>
    <w:rsid w:val="00C112F6"/>
    <w:rsid w:val="00C11AE9"/>
    <w:rsid w:val="00C11C60"/>
    <w:rsid w:val="00C11DA7"/>
    <w:rsid w:val="00C11F69"/>
    <w:rsid w:val="00C125ED"/>
    <w:rsid w:val="00C12FE8"/>
    <w:rsid w:val="00C13057"/>
    <w:rsid w:val="00C13CE2"/>
    <w:rsid w:val="00C1519D"/>
    <w:rsid w:val="00C15AE7"/>
    <w:rsid w:val="00C15C3A"/>
    <w:rsid w:val="00C15D4D"/>
    <w:rsid w:val="00C165C0"/>
    <w:rsid w:val="00C167C0"/>
    <w:rsid w:val="00C168C9"/>
    <w:rsid w:val="00C16A1B"/>
    <w:rsid w:val="00C16B30"/>
    <w:rsid w:val="00C16E4B"/>
    <w:rsid w:val="00C16EBF"/>
    <w:rsid w:val="00C16ED5"/>
    <w:rsid w:val="00C17943"/>
    <w:rsid w:val="00C17DD4"/>
    <w:rsid w:val="00C20383"/>
    <w:rsid w:val="00C203AE"/>
    <w:rsid w:val="00C208CD"/>
    <w:rsid w:val="00C20E49"/>
    <w:rsid w:val="00C21024"/>
    <w:rsid w:val="00C21510"/>
    <w:rsid w:val="00C2205C"/>
    <w:rsid w:val="00C2272E"/>
    <w:rsid w:val="00C2278B"/>
    <w:rsid w:val="00C22A41"/>
    <w:rsid w:val="00C22D95"/>
    <w:rsid w:val="00C22DFB"/>
    <w:rsid w:val="00C22E82"/>
    <w:rsid w:val="00C232EB"/>
    <w:rsid w:val="00C2338B"/>
    <w:rsid w:val="00C23677"/>
    <w:rsid w:val="00C23FE3"/>
    <w:rsid w:val="00C243B5"/>
    <w:rsid w:val="00C2469D"/>
    <w:rsid w:val="00C248EF"/>
    <w:rsid w:val="00C24D04"/>
    <w:rsid w:val="00C24E83"/>
    <w:rsid w:val="00C250BF"/>
    <w:rsid w:val="00C25436"/>
    <w:rsid w:val="00C25A93"/>
    <w:rsid w:val="00C25D26"/>
    <w:rsid w:val="00C269E6"/>
    <w:rsid w:val="00C3063C"/>
    <w:rsid w:val="00C30880"/>
    <w:rsid w:val="00C3216C"/>
    <w:rsid w:val="00C32492"/>
    <w:rsid w:val="00C32500"/>
    <w:rsid w:val="00C327B6"/>
    <w:rsid w:val="00C32ADD"/>
    <w:rsid w:val="00C32EBB"/>
    <w:rsid w:val="00C33020"/>
    <w:rsid w:val="00C33076"/>
    <w:rsid w:val="00C331AE"/>
    <w:rsid w:val="00C34A1F"/>
    <w:rsid w:val="00C34DC1"/>
    <w:rsid w:val="00C36304"/>
    <w:rsid w:val="00C36320"/>
    <w:rsid w:val="00C36333"/>
    <w:rsid w:val="00C363F6"/>
    <w:rsid w:val="00C36454"/>
    <w:rsid w:val="00C36908"/>
    <w:rsid w:val="00C36DD7"/>
    <w:rsid w:val="00C37598"/>
    <w:rsid w:val="00C4047E"/>
    <w:rsid w:val="00C406F5"/>
    <w:rsid w:val="00C407B6"/>
    <w:rsid w:val="00C40B40"/>
    <w:rsid w:val="00C40B78"/>
    <w:rsid w:val="00C40CB5"/>
    <w:rsid w:val="00C40D4D"/>
    <w:rsid w:val="00C40E04"/>
    <w:rsid w:val="00C40E84"/>
    <w:rsid w:val="00C41103"/>
    <w:rsid w:val="00C41ACE"/>
    <w:rsid w:val="00C41C38"/>
    <w:rsid w:val="00C42F64"/>
    <w:rsid w:val="00C4459F"/>
    <w:rsid w:val="00C45072"/>
    <w:rsid w:val="00C451A5"/>
    <w:rsid w:val="00C457DC"/>
    <w:rsid w:val="00C45B3C"/>
    <w:rsid w:val="00C469A9"/>
    <w:rsid w:val="00C469AF"/>
    <w:rsid w:val="00C46DAF"/>
    <w:rsid w:val="00C473DC"/>
    <w:rsid w:val="00C47EDA"/>
    <w:rsid w:val="00C5048B"/>
    <w:rsid w:val="00C5166B"/>
    <w:rsid w:val="00C518EC"/>
    <w:rsid w:val="00C51D23"/>
    <w:rsid w:val="00C521E2"/>
    <w:rsid w:val="00C529FF"/>
    <w:rsid w:val="00C52E22"/>
    <w:rsid w:val="00C533CC"/>
    <w:rsid w:val="00C53A96"/>
    <w:rsid w:val="00C53CA0"/>
    <w:rsid w:val="00C541BB"/>
    <w:rsid w:val="00C5478A"/>
    <w:rsid w:val="00C54DA8"/>
    <w:rsid w:val="00C553A0"/>
    <w:rsid w:val="00C558CD"/>
    <w:rsid w:val="00C56852"/>
    <w:rsid w:val="00C57801"/>
    <w:rsid w:val="00C57BCD"/>
    <w:rsid w:val="00C57CF5"/>
    <w:rsid w:val="00C57E37"/>
    <w:rsid w:val="00C60568"/>
    <w:rsid w:val="00C609CC"/>
    <w:rsid w:val="00C60CC8"/>
    <w:rsid w:val="00C610F2"/>
    <w:rsid w:val="00C625D1"/>
    <w:rsid w:val="00C626B7"/>
    <w:rsid w:val="00C629F6"/>
    <w:rsid w:val="00C62A4A"/>
    <w:rsid w:val="00C62E26"/>
    <w:rsid w:val="00C62FF7"/>
    <w:rsid w:val="00C6302A"/>
    <w:rsid w:val="00C63FB9"/>
    <w:rsid w:val="00C64625"/>
    <w:rsid w:val="00C64835"/>
    <w:rsid w:val="00C651F5"/>
    <w:rsid w:val="00C65495"/>
    <w:rsid w:val="00C663EF"/>
    <w:rsid w:val="00C664CA"/>
    <w:rsid w:val="00C671FD"/>
    <w:rsid w:val="00C67341"/>
    <w:rsid w:val="00C6783A"/>
    <w:rsid w:val="00C70161"/>
    <w:rsid w:val="00C704AB"/>
    <w:rsid w:val="00C712FC"/>
    <w:rsid w:val="00C7167F"/>
    <w:rsid w:val="00C7199A"/>
    <w:rsid w:val="00C71CAA"/>
    <w:rsid w:val="00C71EA1"/>
    <w:rsid w:val="00C72BC3"/>
    <w:rsid w:val="00C72F2B"/>
    <w:rsid w:val="00C730F0"/>
    <w:rsid w:val="00C731AD"/>
    <w:rsid w:val="00C73558"/>
    <w:rsid w:val="00C73EFF"/>
    <w:rsid w:val="00C740FC"/>
    <w:rsid w:val="00C74628"/>
    <w:rsid w:val="00C74C19"/>
    <w:rsid w:val="00C762AA"/>
    <w:rsid w:val="00C769AD"/>
    <w:rsid w:val="00C76AB8"/>
    <w:rsid w:val="00C76C9D"/>
    <w:rsid w:val="00C77329"/>
    <w:rsid w:val="00C7781B"/>
    <w:rsid w:val="00C77821"/>
    <w:rsid w:val="00C779FE"/>
    <w:rsid w:val="00C800D5"/>
    <w:rsid w:val="00C80D89"/>
    <w:rsid w:val="00C80FB4"/>
    <w:rsid w:val="00C817B7"/>
    <w:rsid w:val="00C81803"/>
    <w:rsid w:val="00C81C60"/>
    <w:rsid w:val="00C82D7E"/>
    <w:rsid w:val="00C8305B"/>
    <w:rsid w:val="00C83497"/>
    <w:rsid w:val="00C837E7"/>
    <w:rsid w:val="00C83BE9"/>
    <w:rsid w:val="00C83C37"/>
    <w:rsid w:val="00C83E27"/>
    <w:rsid w:val="00C841AE"/>
    <w:rsid w:val="00C84295"/>
    <w:rsid w:val="00C85609"/>
    <w:rsid w:val="00C859CF"/>
    <w:rsid w:val="00C85A97"/>
    <w:rsid w:val="00C85C77"/>
    <w:rsid w:val="00C85C9C"/>
    <w:rsid w:val="00C867CA"/>
    <w:rsid w:val="00C86DD0"/>
    <w:rsid w:val="00C86E13"/>
    <w:rsid w:val="00C873C1"/>
    <w:rsid w:val="00C874A2"/>
    <w:rsid w:val="00C87626"/>
    <w:rsid w:val="00C87645"/>
    <w:rsid w:val="00C87771"/>
    <w:rsid w:val="00C9069B"/>
    <w:rsid w:val="00C9115C"/>
    <w:rsid w:val="00C91457"/>
    <w:rsid w:val="00C91938"/>
    <w:rsid w:val="00C919EC"/>
    <w:rsid w:val="00C919F3"/>
    <w:rsid w:val="00C91A2E"/>
    <w:rsid w:val="00C91C82"/>
    <w:rsid w:val="00C91EF0"/>
    <w:rsid w:val="00C92044"/>
    <w:rsid w:val="00C92BB4"/>
    <w:rsid w:val="00C93114"/>
    <w:rsid w:val="00C93727"/>
    <w:rsid w:val="00C9386F"/>
    <w:rsid w:val="00C93E12"/>
    <w:rsid w:val="00C94270"/>
    <w:rsid w:val="00C94691"/>
    <w:rsid w:val="00C946E7"/>
    <w:rsid w:val="00C949E8"/>
    <w:rsid w:val="00C94C8A"/>
    <w:rsid w:val="00C9566A"/>
    <w:rsid w:val="00C95C61"/>
    <w:rsid w:val="00C95D1F"/>
    <w:rsid w:val="00C963D8"/>
    <w:rsid w:val="00C96CB7"/>
    <w:rsid w:val="00C96F79"/>
    <w:rsid w:val="00C9724A"/>
    <w:rsid w:val="00C97FA5"/>
    <w:rsid w:val="00C97FD1"/>
    <w:rsid w:val="00CA007F"/>
    <w:rsid w:val="00CA02F1"/>
    <w:rsid w:val="00CA069A"/>
    <w:rsid w:val="00CA0775"/>
    <w:rsid w:val="00CA0CF5"/>
    <w:rsid w:val="00CA167D"/>
    <w:rsid w:val="00CA17B2"/>
    <w:rsid w:val="00CA1B9D"/>
    <w:rsid w:val="00CA21C7"/>
    <w:rsid w:val="00CA251A"/>
    <w:rsid w:val="00CA2DF9"/>
    <w:rsid w:val="00CA3131"/>
    <w:rsid w:val="00CA3990"/>
    <w:rsid w:val="00CA3BAD"/>
    <w:rsid w:val="00CA3E87"/>
    <w:rsid w:val="00CA3F6D"/>
    <w:rsid w:val="00CA4DB8"/>
    <w:rsid w:val="00CA4DF0"/>
    <w:rsid w:val="00CA512B"/>
    <w:rsid w:val="00CA5284"/>
    <w:rsid w:val="00CA5618"/>
    <w:rsid w:val="00CA5627"/>
    <w:rsid w:val="00CA5961"/>
    <w:rsid w:val="00CA5DFE"/>
    <w:rsid w:val="00CA66F7"/>
    <w:rsid w:val="00CA696F"/>
    <w:rsid w:val="00CA76FE"/>
    <w:rsid w:val="00CA7A77"/>
    <w:rsid w:val="00CA7AF8"/>
    <w:rsid w:val="00CA7B34"/>
    <w:rsid w:val="00CB0342"/>
    <w:rsid w:val="00CB07D3"/>
    <w:rsid w:val="00CB0F04"/>
    <w:rsid w:val="00CB1456"/>
    <w:rsid w:val="00CB21B2"/>
    <w:rsid w:val="00CB2437"/>
    <w:rsid w:val="00CB2EBF"/>
    <w:rsid w:val="00CB3166"/>
    <w:rsid w:val="00CB39ED"/>
    <w:rsid w:val="00CB45F5"/>
    <w:rsid w:val="00CB46E2"/>
    <w:rsid w:val="00CB4B80"/>
    <w:rsid w:val="00CB4E4B"/>
    <w:rsid w:val="00CB50A8"/>
    <w:rsid w:val="00CB5308"/>
    <w:rsid w:val="00CB552F"/>
    <w:rsid w:val="00CB5652"/>
    <w:rsid w:val="00CB56B5"/>
    <w:rsid w:val="00CB5AFD"/>
    <w:rsid w:val="00CB5FFE"/>
    <w:rsid w:val="00CB6242"/>
    <w:rsid w:val="00CB68A5"/>
    <w:rsid w:val="00CB6C85"/>
    <w:rsid w:val="00CC00AE"/>
    <w:rsid w:val="00CC0299"/>
    <w:rsid w:val="00CC0958"/>
    <w:rsid w:val="00CC0A04"/>
    <w:rsid w:val="00CC1C5C"/>
    <w:rsid w:val="00CC245B"/>
    <w:rsid w:val="00CC28EC"/>
    <w:rsid w:val="00CC2E16"/>
    <w:rsid w:val="00CC36AB"/>
    <w:rsid w:val="00CC40CD"/>
    <w:rsid w:val="00CC4128"/>
    <w:rsid w:val="00CC493D"/>
    <w:rsid w:val="00CC4A14"/>
    <w:rsid w:val="00CC4A40"/>
    <w:rsid w:val="00CC4BC2"/>
    <w:rsid w:val="00CC548A"/>
    <w:rsid w:val="00CC5B33"/>
    <w:rsid w:val="00CC5D80"/>
    <w:rsid w:val="00CC6249"/>
    <w:rsid w:val="00CC634D"/>
    <w:rsid w:val="00CC6430"/>
    <w:rsid w:val="00CC6760"/>
    <w:rsid w:val="00CC6F8A"/>
    <w:rsid w:val="00CC6FF1"/>
    <w:rsid w:val="00CC7144"/>
    <w:rsid w:val="00CC7505"/>
    <w:rsid w:val="00CC78C9"/>
    <w:rsid w:val="00CC791C"/>
    <w:rsid w:val="00CC7A82"/>
    <w:rsid w:val="00CD06B9"/>
    <w:rsid w:val="00CD0C11"/>
    <w:rsid w:val="00CD11B3"/>
    <w:rsid w:val="00CD2319"/>
    <w:rsid w:val="00CD2BEA"/>
    <w:rsid w:val="00CD2BED"/>
    <w:rsid w:val="00CD2F68"/>
    <w:rsid w:val="00CD3152"/>
    <w:rsid w:val="00CD31D1"/>
    <w:rsid w:val="00CD3205"/>
    <w:rsid w:val="00CD3351"/>
    <w:rsid w:val="00CD388C"/>
    <w:rsid w:val="00CD3A7C"/>
    <w:rsid w:val="00CD3DBF"/>
    <w:rsid w:val="00CD517A"/>
    <w:rsid w:val="00CD52CD"/>
    <w:rsid w:val="00CD56A0"/>
    <w:rsid w:val="00CD61A1"/>
    <w:rsid w:val="00CD63E2"/>
    <w:rsid w:val="00CD664E"/>
    <w:rsid w:val="00CD7AE4"/>
    <w:rsid w:val="00CE0708"/>
    <w:rsid w:val="00CE089A"/>
    <w:rsid w:val="00CE0A08"/>
    <w:rsid w:val="00CE0EBD"/>
    <w:rsid w:val="00CE1294"/>
    <w:rsid w:val="00CE1721"/>
    <w:rsid w:val="00CE250B"/>
    <w:rsid w:val="00CE28F5"/>
    <w:rsid w:val="00CE2A02"/>
    <w:rsid w:val="00CE2B33"/>
    <w:rsid w:val="00CE2E8A"/>
    <w:rsid w:val="00CE32E9"/>
    <w:rsid w:val="00CE344C"/>
    <w:rsid w:val="00CE3831"/>
    <w:rsid w:val="00CE40D7"/>
    <w:rsid w:val="00CE44DF"/>
    <w:rsid w:val="00CE4749"/>
    <w:rsid w:val="00CE57BB"/>
    <w:rsid w:val="00CE5AD4"/>
    <w:rsid w:val="00CE5C46"/>
    <w:rsid w:val="00CE5D0D"/>
    <w:rsid w:val="00CE6341"/>
    <w:rsid w:val="00CE636F"/>
    <w:rsid w:val="00CE6649"/>
    <w:rsid w:val="00CE6E06"/>
    <w:rsid w:val="00CE704D"/>
    <w:rsid w:val="00CE7A87"/>
    <w:rsid w:val="00CE7CA1"/>
    <w:rsid w:val="00CE7D34"/>
    <w:rsid w:val="00CF25E4"/>
    <w:rsid w:val="00CF4262"/>
    <w:rsid w:val="00CF4475"/>
    <w:rsid w:val="00CF44D5"/>
    <w:rsid w:val="00CF4E3E"/>
    <w:rsid w:val="00CF5154"/>
    <w:rsid w:val="00CF5482"/>
    <w:rsid w:val="00CF58B4"/>
    <w:rsid w:val="00CF62C1"/>
    <w:rsid w:val="00CF6476"/>
    <w:rsid w:val="00CF674E"/>
    <w:rsid w:val="00CF69DF"/>
    <w:rsid w:val="00CF7005"/>
    <w:rsid w:val="00D008B5"/>
    <w:rsid w:val="00D00946"/>
    <w:rsid w:val="00D019F9"/>
    <w:rsid w:val="00D01D31"/>
    <w:rsid w:val="00D02115"/>
    <w:rsid w:val="00D02A77"/>
    <w:rsid w:val="00D02FF1"/>
    <w:rsid w:val="00D037DC"/>
    <w:rsid w:val="00D03840"/>
    <w:rsid w:val="00D03E37"/>
    <w:rsid w:val="00D03E97"/>
    <w:rsid w:val="00D04146"/>
    <w:rsid w:val="00D04493"/>
    <w:rsid w:val="00D04B3A"/>
    <w:rsid w:val="00D04D9F"/>
    <w:rsid w:val="00D05339"/>
    <w:rsid w:val="00D05C38"/>
    <w:rsid w:val="00D05E10"/>
    <w:rsid w:val="00D0609D"/>
    <w:rsid w:val="00D063A1"/>
    <w:rsid w:val="00D071E0"/>
    <w:rsid w:val="00D074E0"/>
    <w:rsid w:val="00D100E6"/>
    <w:rsid w:val="00D109E7"/>
    <w:rsid w:val="00D110C4"/>
    <w:rsid w:val="00D1162E"/>
    <w:rsid w:val="00D13176"/>
    <w:rsid w:val="00D13577"/>
    <w:rsid w:val="00D13BDC"/>
    <w:rsid w:val="00D14110"/>
    <w:rsid w:val="00D14271"/>
    <w:rsid w:val="00D14CD6"/>
    <w:rsid w:val="00D150CA"/>
    <w:rsid w:val="00D151A0"/>
    <w:rsid w:val="00D15525"/>
    <w:rsid w:val="00D1572A"/>
    <w:rsid w:val="00D15B02"/>
    <w:rsid w:val="00D15C44"/>
    <w:rsid w:val="00D15F3E"/>
    <w:rsid w:val="00D15FE1"/>
    <w:rsid w:val="00D16528"/>
    <w:rsid w:val="00D16F4F"/>
    <w:rsid w:val="00D17972"/>
    <w:rsid w:val="00D17E22"/>
    <w:rsid w:val="00D200AA"/>
    <w:rsid w:val="00D212FF"/>
    <w:rsid w:val="00D21A95"/>
    <w:rsid w:val="00D21B0F"/>
    <w:rsid w:val="00D21C01"/>
    <w:rsid w:val="00D21F17"/>
    <w:rsid w:val="00D2356E"/>
    <w:rsid w:val="00D23F7D"/>
    <w:rsid w:val="00D242F0"/>
    <w:rsid w:val="00D243AC"/>
    <w:rsid w:val="00D24C44"/>
    <w:rsid w:val="00D24E57"/>
    <w:rsid w:val="00D2513C"/>
    <w:rsid w:val="00D25484"/>
    <w:rsid w:val="00D2553B"/>
    <w:rsid w:val="00D2559F"/>
    <w:rsid w:val="00D25E0A"/>
    <w:rsid w:val="00D26162"/>
    <w:rsid w:val="00D267E4"/>
    <w:rsid w:val="00D26C7F"/>
    <w:rsid w:val="00D27178"/>
    <w:rsid w:val="00D2726E"/>
    <w:rsid w:val="00D27408"/>
    <w:rsid w:val="00D27585"/>
    <w:rsid w:val="00D27961"/>
    <w:rsid w:val="00D27C8A"/>
    <w:rsid w:val="00D27D15"/>
    <w:rsid w:val="00D27F90"/>
    <w:rsid w:val="00D30518"/>
    <w:rsid w:val="00D30A61"/>
    <w:rsid w:val="00D30D28"/>
    <w:rsid w:val="00D31087"/>
    <w:rsid w:val="00D312BD"/>
    <w:rsid w:val="00D313F1"/>
    <w:rsid w:val="00D32152"/>
    <w:rsid w:val="00D323DC"/>
    <w:rsid w:val="00D3256F"/>
    <w:rsid w:val="00D331AB"/>
    <w:rsid w:val="00D336CF"/>
    <w:rsid w:val="00D3370B"/>
    <w:rsid w:val="00D34F6D"/>
    <w:rsid w:val="00D35CD8"/>
    <w:rsid w:val="00D364C8"/>
    <w:rsid w:val="00D36797"/>
    <w:rsid w:val="00D36D63"/>
    <w:rsid w:val="00D36E85"/>
    <w:rsid w:val="00D3706D"/>
    <w:rsid w:val="00D37730"/>
    <w:rsid w:val="00D37847"/>
    <w:rsid w:val="00D3786C"/>
    <w:rsid w:val="00D411BF"/>
    <w:rsid w:val="00D4125A"/>
    <w:rsid w:val="00D41596"/>
    <w:rsid w:val="00D41682"/>
    <w:rsid w:val="00D41915"/>
    <w:rsid w:val="00D41D91"/>
    <w:rsid w:val="00D4217A"/>
    <w:rsid w:val="00D42498"/>
    <w:rsid w:val="00D42C62"/>
    <w:rsid w:val="00D42D82"/>
    <w:rsid w:val="00D43269"/>
    <w:rsid w:val="00D43CEC"/>
    <w:rsid w:val="00D43D66"/>
    <w:rsid w:val="00D43E41"/>
    <w:rsid w:val="00D452FD"/>
    <w:rsid w:val="00D4570E"/>
    <w:rsid w:val="00D4629F"/>
    <w:rsid w:val="00D468E9"/>
    <w:rsid w:val="00D47682"/>
    <w:rsid w:val="00D503A4"/>
    <w:rsid w:val="00D50424"/>
    <w:rsid w:val="00D5058A"/>
    <w:rsid w:val="00D50692"/>
    <w:rsid w:val="00D5088F"/>
    <w:rsid w:val="00D51B3D"/>
    <w:rsid w:val="00D52BCC"/>
    <w:rsid w:val="00D530BC"/>
    <w:rsid w:val="00D53772"/>
    <w:rsid w:val="00D53AE9"/>
    <w:rsid w:val="00D542EA"/>
    <w:rsid w:val="00D545AC"/>
    <w:rsid w:val="00D54911"/>
    <w:rsid w:val="00D54D3A"/>
    <w:rsid w:val="00D55F66"/>
    <w:rsid w:val="00D566D8"/>
    <w:rsid w:val="00D56990"/>
    <w:rsid w:val="00D56ABA"/>
    <w:rsid w:val="00D56E9B"/>
    <w:rsid w:val="00D57C77"/>
    <w:rsid w:val="00D57CEF"/>
    <w:rsid w:val="00D57E8F"/>
    <w:rsid w:val="00D60200"/>
    <w:rsid w:val="00D6023A"/>
    <w:rsid w:val="00D60516"/>
    <w:rsid w:val="00D609B2"/>
    <w:rsid w:val="00D60C66"/>
    <w:rsid w:val="00D60D8C"/>
    <w:rsid w:val="00D60F14"/>
    <w:rsid w:val="00D61002"/>
    <w:rsid w:val="00D6125F"/>
    <w:rsid w:val="00D614D9"/>
    <w:rsid w:val="00D6164F"/>
    <w:rsid w:val="00D61BB0"/>
    <w:rsid w:val="00D6223E"/>
    <w:rsid w:val="00D622EB"/>
    <w:rsid w:val="00D62B01"/>
    <w:rsid w:val="00D631F7"/>
    <w:rsid w:val="00D6334A"/>
    <w:rsid w:val="00D638DA"/>
    <w:rsid w:val="00D63A3C"/>
    <w:rsid w:val="00D63E26"/>
    <w:rsid w:val="00D63E3F"/>
    <w:rsid w:val="00D64090"/>
    <w:rsid w:val="00D64146"/>
    <w:rsid w:val="00D641E1"/>
    <w:rsid w:val="00D642AF"/>
    <w:rsid w:val="00D6444A"/>
    <w:rsid w:val="00D644C3"/>
    <w:rsid w:val="00D652D0"/>
    <w:rsid w:val="00D65558"/>
    <w:rsid w:val="00D660ED"/>
    <w:rsid w:val="00D663DF"/>
    <w:rsid w:val="00D66808"/>
    <w:rsid w:val="00D66CA6"/>
    <w:rsid w:val="00D66F7E"/>
    <w:rsid w:val="00D6723A"/>
    <w:rsid w:val="00D70857"/>
    <w:rsid w:val="00D708D7"/>
    <w:rsid w:val="00D71B58"/>
    <w:rsid w:val="00D71BE0"/>
    <w:rsid w:val="00D72C07"/>
    <w:rsid w:val="00D72C52"/>
    <w:rsid w:val="00D738C7"/>
    <w:rsid w:val="00D73BDE"/>
    <w:rsid w:val="00D73E40"/>
    <w:rsid w:val="00D754A8"/>
    <w:rsid w:val="00D76149"/>
    <w:rsid w:val="00D767D7"/>
    <w:rsid w:val="00D76942"/>
    <w:rsid w:val="00D76D6A"/>
    <w:rsid w:val="00D76F0F"/>
    <w:rsid w:val="00D7711A"/>
    <w:rsid w:val="00D77448"/>
    <w:rsid w:val="00D77A62"/>
    <w:rsid w:val="00D77ACB"/>
    <w:rsid w:val="00D803B9"/>
    <w:rsid w:val="00D8100E"/>
    <w:rsid w:val="00D811CE"/>
    <w:rsid w:val="00D81847"/>
    <w:rsid w:val="00D81A4D"/>
    <w:rsid w:val="00D81AF1"/>
    <w:rsid w:val="00D81B6A"/>
    <w:rsid w:val="00D81D95"/>
    <w:rsid w:val="00D824F7"/>
    <w:rsid w:val="00D831D2"/>
    <w:rsid w:val="00D832C7"/>
    <w:rsid w:val="00D83800"/>
    <w:rsid w:val="00D8383B"/>
    <w:rsid w:val="00D84972"/>
    <w:rsid w:val="00D84DA5"/>
    <w:rsid w:val="00D84F1F"/>
    <w:rsid w:val="00D854DC"/>
    <w:rsid w:val="00D8611F"/>
    <w:rsid w:val="00D863AE"/>
    <w:rsid w:val="00D864A8"/>
    <w:rsid w:val="00D86C04"/>
    <w:rsid w:val="00D86CBA"/>
    <w:rsid w:val="00D87691"/>
    <w:rsid w:val="00D87932"/>
    <w:rsid w:val="00D87B5F"/>
    <w:rsid w:val="00D9035B"/>
    <w:rsid w:val="00D90903"/>
    <w:rsid w:val="00D910E1"/>
    <w:rsid w:val="00D91814"/>
    <w:rsid w:val="00D920AD"/>
    <w:rsid w:val="00D92350"/>
    <w:rsid w:val="00D927A4"/>
    <w:rsid w:val="00D92AFC"/>
    <w:rsid w:val="00D93A2C"/>
    <w:rsid w:val="00D941A1"/>
    <w:rsid w:val="00D946FC"/>
    <w:rsid w:val="00D949CA"/>
    <w:rsid w:val="00D951A1"/>
    <w:rsid w:val="00D9575E"/>
    <w:rsid w:val="00D95869"/>
    <w:rsid w:val="00D95A45"/>
    <w:rsid w:val="00D95A58"/>
    <w:rsid w:val="00D95D83"/>
    <w:rsid w:val="00D963C5"/>
    <w:rsid w:val="00D965C7"/>
    <w:rsid w:val="00D96CC3"/>
    <w:rsid w:val="00D97A08"/>
    <w:rsid w:val="00D97A20"/>
    <w:rsid w:val="00D97AF2"/>
    <w:rsid w:val="00DA0CEA"/>
    <w:rsid w:val="00DA1231"/>
    <w:rsid w:val="00DA149E"/>
    <w:rsid w:val="00DA1677"/>
    <w:rsid w:val="00DA2647"/>
    <w:rsid w:val="00DA29DE"/>
    <w:rsid w:val="00DA2B40"/>
    <w:rsid w:val="00DA3165"/>
    <w:rsid w:val="00DA373D"/>
    <w:rsid w:val="00DA3E6A"/>
    <w:rsid w:val="00DA3FE9"/>
    <w:rsid w:val="00DA3FF7"/>
    <w:rsid w:val="00DA400A"/>
    <w:rsid w:val="00DA40D6"/>
    <w:rsid w:val="00DA43F1"/>
    <w:rsid w:val="00DA56E4"/>
    <w:rsid w:val="00DA5ACE"/>
    <w:rsid w:val="00DA5ADE"/>
    <w:rsid w:val="00DA5F38"/>
    <w:rsid w:val="00DA60CA"/>
    <w:rsid w:val="00DA6559"/>
    <w:rsid w:val="00DA6A18"/>
    <w:rsid w:val="00DA6D8C"/>
    <w:rsid w:val="00DA707E"/>
    <w:rsid w:val="00DA770D"/>
    <w:rsid w:val="00DB0306"/>
    <w:rsid w:val="00DB0774"/>
    <w:rsid w:val="00DB16B1"/>
    <w:rsid w:val="00DB1A1B"/>
    <w:rsid w:val="00DB1A6E"/>
    <w:rsid w:val="00DB2533"/>
    <w:rsid w:val="00DB27F4"/>
    <w:rsid w:val="00DB28C8"/>
    <w:rsid w:val="00DB33D7"/>
    <w:rsid w:val="00DB37DE"/>
    <w:rsid w:val="00DB39D3"/>
    <w:rsid w:val="00DB3AE6"/>
    <w:rsid w:val="00DB3DAA"/>
    <w:rsid w:val="00DB4B3A"/>
    <w:rsid w:val="00DB4BC4"/>
    <w:rsid w:val="00DB50E3"/>
    <w:rsid w:val="00DB5366"/>
    <w:rsid w:val="00DB54CC"/>
    <w:rsid w:val="00DB5FD8"/>
    <w:rsid w:val="00DB62E2"/>
    <w:rsid w:val="00DB62E4"/>
    <w:rsid w:val="00DB70A0"/>
    <w:rsid w:val="00DB7197"/>
    <w:rsid w:val="00DB7342"/>
    <w:rsid w:val="00DB73DF"/>
    <w:rsid w:val="00DB7A8A"/>
    <w:rsid w:val="00DC0272"/>
    <w:rsid w:val="00DC04DA"/>
    <w:rsid w:val="00DC051C"/>
    <w:rsid w:val="00DC1204"/>
    <w:rsid w:val="00DC2029"/>
    <w:rsid w:val="00DC22F4"/>
    <w:rsid w:val="00DC3009"/>
    <w:rsid w:val="00DC384B"/>
    <w:rsid w:val="00DC41E5"/>
    <w:rsid w:val="00DC4849"/>
    <w:rsid w:val="00DC5071"/>
    <w:rsid w:val="00DC68FA"/>
    <w:rsid w:val="00DC6E05"/>
    <w:rsid w:val="00DC7AB6"/>
    <w:rsid w:val="00DD04AD"/>
    <w:rsid w:val="00DD0917"/>
    <w:rsid w:val="00DD0A6C"/>
    <w:rsid w:val="00DD136A"/>
    <w:rsid w:val="00DD1966"/>
    <w:rsid w:val="00DD214A"/>
    <w:rsid w:val="00DD2B9D"/>
    <w:rsid w:val="00DD3BB2"/>
    <w:rsid w:val="00DD3BD3"/>
    <w:rsid w:val="00DD4BC6"/>
    <w:rsid w:val="00DD4F96"/>
    <w:rsid w:val="00DD506F"/>
    <w:rsid w:val="00DD5C9F"/>
    <w:rsid w:val="00DD64B3"/>
    <w:rsid w:val="00DD74F2"/>
    <w:rsid w:val="00DE09A0"/>
    <w:rsid w:val="00DE0EB4"/>
    <w:rsid w:val="00DE1075"/>
    <w:rsid w:val="00DE12D8"/>
    <w:rsid w:val="00DE1C2D"/>
    <w:rsid w:val="00DE238C"/>
    <w:rsid w:val="00DE28AB"/>
    <w:rsid w:val="00DE355C"/>
    <w:rsid w:val="00DE3FB5"/>
    <w:rsid w:val="00DE403E"/>
    <w:rsid w:val="00DE40ED"/>
    <w:rsid w:val="00DE4116"/>
    <w:rsid w:val="00DE4253"/>
    <w:rsid w:val="00DE4845"/>
    <w:rsid w:val="00DE4C4B"/>
    <w:rsid w:val="00DE4C95"/>
    <w:rsid w:val="00DE4D54"/>
    <w:rsid w:val="00DE4F67"/>
    <w:rsid w:val="00DE527B"/>
    <w:rsid w:val="00DE530A"/>
    <w:rsid w:val="00DE5AC4"/>
    <w:rsid w:val="00DE5B66"/>
    <w:rsid w:val="00DE69BF"/>
    <w:rsid w:val="00DE6C7F"/>
    <w:rsid w:val="00DE6E21"/>
    <w:rsid w:val="00DE6F01"/>
    <w:rsid w:val="00DE714C"/>
    <w:rsid w:val="00DF04ED"/>
    <w:rsid w:val="00DF05F6"/>
    <w:rsid w:val="00DF07A0"/>
    <w:rsid w:val="00DF0B16"/>
    <w:rsid w:val="00DF0D9C"/>
    <w:rsid w:val="00DF12DA"/>
    <w:rsid w:val="00DF1441"/>
    <w:rsid w:val="00DF1654"/>
    <w:rsid w:val="00DF1911"/>
    <w:rsid w:val="00DF1C02"/>
    <w:rsid w:val="00DF391D"/>
    <w:rsid w:val="00DF3FD5"/>
    <w:rsid w:val="00DF483D"/>
    <w:rsid w:val="00DF4ABD"/>
    <w:rsid w:val="00DF4BC5"/>
    <w:rsid w:val="00DF4E14"/>
    <w:rsid w:val="00DF5658"/>
    <w:rsid w:val="00DF56BE"/>
    <w:rsid w:val="00DF59DA"/>
    <w:rsid w:val="00DF5B3D"/>
    <w:rsid w:val="00DF5F6B"/>
    <w:rsid w:val="00DF66B8"/>
    <w:rsid w:val="00DF6AB1"/>
    <w:rsid w:val="00DF6EB8"/>
    <w:rsid w:val="00DF6F9F"/>
    <w:rsid w:val="00DF721D"/>
    <w:rsid w:val="00DF740C"/>
    <w:rsid w:val="00DF7850"/>
    <w:rsid w:val="00DF7B56"/>
    <w:rsid w:val="00DF7E46"/>
    <w:rsid w:val="00E00524"/>
    <w:rsid w:val="00E005A7"/>
    <w:rsid w:val="00E00AC8"/>
    <w:rsid w:val="00E00BCB"/>
    <w:rsid w:val="00E00E90"/>
    <w:rsid w:val="00E01022"/>
    <w:rsid w:val="00E01ACA"/>
    <w:rsid w:val="00E01FF5"/>
    <w:rsid w:val="00E02034"/>
    <w:rsid w:val="00E02E53"/>
    <w:rsid w:val="00E031D4"/>
    <w:rsid w:val="00E0336E"/>
    <w:rsid w:val="00E0375D"/>
    <w:rsid w:val="00E039CA"/>
    <w:rsid w:val="00E039ED"/>
    <w:rsid w:val="00E03B2B"/>
    <w:rsid w:val="00E047A5"/>
    <w:rsid w:val="00E04AE9"/>
    <w:rsid w:val="00E04BF0"/>
    <w:rsid w:val="00E0543F"/>
    <w:rsid w:val="00E063D3"/>
    <w:rsid w:val="00E065BA"/>
    <w:rsid w:val="00E06BE7"/>
    <w:rsid w:val="00E06D89"/>
    <w:rsid w:val="00E072DA"/>
    <w:rsid w:val="00E07641"/>
    <w:rsid w:val="00E07C44"/>
    <w:rsid w:val="00E07DB9"/>
    <w:rsid w:val="00E07EE8"/>
    <w:rsid w:val="00E07F21"/>
    <w:rsid w:val="00E101D6"/>
    <w:rsid w:val="00E10791"/>
    <w:rsid w:val="00E10E60"/>
    <w:rsid w:val="00E1153A"/>
    <w:rsid w:val="00E11B07"/>
    <w:rsid w:val="00E12195"/>
    <w:rsid w:val="00E128D3"/>
    <w:rsid w:val="00E136A5"/>
    <w:rsid w:val="00E137AA"/>
    <w:rsid w:val="00E13814"/>
    <w:rsid w:val="00E1467F"/>
    <w:rsid w:val="00E14D06"/>
    <w:rsid w:val="00E1518F"/>
    <w:rsid w:val="00E156ED"/>
    <w:rsid w:val="00E159A1"/>
    <w:rsid w:val="00E15A44"/>
    <w:rsid w:val="00E16704"/>
    <w:rsid w:val="00E16E94"/>
    <w:rsid w:val="00E16EE2"/>
    <w:rsid w:val="00E173E4"/>
    <w:rsid w:val="00E177DD"/>
    <w:rsid w:val="00E1784F"/>
    <w:rsid w:val="00E17916"/>
    <w:rsid w:val="00E179E3"/>
    <w:rsid w:val="00E17EF4"/>
    <w:rsid w:val="00E214D5"/>
    <w:rsid w:val="00E21F67"/>
    <w:rsid w:val="00E221AF"/>
    <w:rsid w:val="00E232F7"/>
    <w:rsid w:val="00E23318"/>
    <w:rsid w:val="00E238A6"/>
    <w:rsid w:val="00E23A8A"/>
    <w:rsid w:val="00E23E5B"/>
    <w:rsid w:val="00E2417D"/>
    <w:rsid w:val="00E24692"/>
    <w:rsid w:val="00E256B5"/>
    <w:rsid w:val="00E25881"/>
    <w:rsid w:val="00E265BF"/>
    <w:rsid w:val="00E26795"/>
    <w:rsid w:val="00E267BA"/>
    <w:rsid w:val="00E26C91"/>
    <w:rsid w:val="00E27B54"/>
    <w:rsid w:val="00E27D56"/>
    <w:rsid w:val="00E30455"/>
    <w:rsid w:val="00E309F1"/>
    <w:rsid w:val="00E30B94"/>
    <w:rsid w:val="00E314AD"/>
    <w:rsid w:val="00E31CE9"/>
    <w:rsid w:val="00E32202"/>
    <w:rsid w:val="00E32AB1"/>
    <w:rsid w:val="00E32BD4"/>
    <w:rsid w:val="00E33292"/>
    <w:rsid w:val="00E33D94"/>
    <w:rsid w:val="00E33FBD"/>
    <w:rsid w:val="00E34F2C"/>
    <w:rsid w:val="00E34FAD"/>
    <w:rsid w:val="00E35208"/>
    <w:rsid w:val="00E3552A"/>
    <w:rsid w:val="00E36333"/>
    <w:rsid w:val="00E3659C"/>
    <w:rsid w:val="00E369EB"/>
    <w:rsid w:val="00E36C33"/>
    <w:rsid w:val="00E36F3E"/>
    <w:rsid w:val="00E37585"/>
    <w:rsid w:val="00E379C4"/>
    <w:rsid w:val="00E40369"/>
    <w:rsid w:val="00E4091E"/>
    <w:rsid w:val="00E40DF2"/>
    <w:rsid w:val="00E412C9"/>
    <w:rsid w:val="00E414E9"/>
    <w:rsid w:val="00E418C8"/>
    <w:rsid w:val="00E41BE3"/>
    <w:rsid w:val="00E420F2"/>
    <w:rsid w:val="00E42701"/>
    <w:rsid w:val="00E42843"/>
    <w:rsid w:val="00E44893"/>
    <w:rsid w:val="00E449D8"/>
    <w:rsid w:val="00E45000"/>
    <w:rsid w:val="00E45590"/>
    <w:rsid w:val="00E45F7A"/>
    <w:rsid w:val="00E46868"/>
    <w:rsid w:val="00E46A25"/>
    <w:rsid w:val="00E46D7D"/>
    <w:rsid w:val="00E46EB2"/>
    <w:rsid w:val="00E47144"/>
    <w:rsid w:val="00E474F8"/>
    <w:rsid w:val="00E50CDB"/>
    <w:rsid w:val="00E50E70"/>
    <w:rsid w:val="00E511C8"/>
    <w:rsid w:val="00E51BE9"/>
    <w:rsid w:val="00E523BD"/>
    <w:rsid w:val="00E5241D"/>
    <w:rsid w:val="00E524F3"/>
    <w:rsid w:val="00E52524"/>
    <w:rsid w:val="00E528BA"/>
    <w:rsid w:val="00E533BC"/>
    <w:rsid w:val="00E537E0"/>
    <w:rsid w:val="00E539E3"/>
    <w:rsid w:val="00E53E5D"/>
    <w:rsid w:val="00E545D6"/>
    <w:rsid w:val="00E54ACF"/>
    <w:rsid w:val="00E54D6D"/>
    <w:rsid w:val="00E55582"/>
    <w:rsid w:val="00E55A56"/>
    <w:rsid w:val="00E55F4A"/>
    <w:rsid w:val="00E560B0"/>
    <w:rsid w:val="00E560F0"/>
    <w:rsid w:val="00E562AC"/>
    <w:rsid w:val="00E56D79"/>
    <w:rsid w:val="00E57623"/>
    <w:rsid w:val="00E5768D"/>
    <w:rsid w:val="00E6083E"/>
    <w:rsid w:val="00E60E6D"/>
    <w:rsid w:val="00E625B3"/>
    <w:rsid w:val="00E626C0"/>
    <w:rsid w:val="00E6280A"/>
    <w:rsid w:val="00E62D75"/>
    <w:rsid w:val="00E630C2"/>
    <w:rsid w:val="00E6420A"/>
    <w:rsid w:val="00E652FC"/>
    <w:rsid w:val="00E65746"/>
    <w:rsid w:val="00E65A02"/>
    <w:rsid w:val="00E660BF"/>
    <w:rsid w:val="00E6653A"/>
    <w:rsid w:val="00E66D57"/>
    <w:rsid w:val="00E67081"/>
    <w:rsid w:val="00E675F1"/>
    <w:rsid w:val="00E67A48"/>
    <w:rsid w:val="00E70ED6"/>
    <w:rsid w:val="00E71D2A"/>
    <w:rsid w:val="00E72508"/>
    <w:rsid w:val="00E72603"/>
    <w:rsid w:val="00E72A77"/>
    <w:rsid w:val="00E73762"/>
    <w:rsid w:val="00E7376C"/>
    <w:rsid w:val="00E73992"/>
    <w:rsid w:val="00E74C6D"/>
    <w:rsid w:val="00E75450"/>
    <w:rsid w:val="00E755E1"/>
    <w:rsid w:val="00E75681"/>
    <w:rsid w:val="00E75994"/>
    <w:rsid w:val="00E75AEF"/>
    <w:rsid w:val="00E75BAB"/>
    <w:rsid w:val="00E75E86"/>
    <w:rsid w:val="00E7613F"/>
    <w:rsid w:val="00E76213"/>
    <w:rsid w:val="00E764F3"/>
    <w:rsid w:val="00E77159"/>
    <w:rsid w:val="00E778FA"/>
    <w:rsid w:val="00E77C74"/>
    <w:rsid w:val="00E8075F"/>
    <w:rsid w:val="00E808F8"/>
    <w:rsid w:val="00E80C90"/>
    <w:rsid w:val="00E80D79"/>
    <w:rsid w:val="00E825D9"/>
    <w:rsid w:val="00E82A33"/>
    <w:rsid w:val="00E83676"/>
    <w:rsid w:val="00E839CE"/>
    <w:rsid w:val="00E83EB8"/>
    <w:rsid w:val="00E83EE4"/>
    <w:rsid w:val="00E83EF7"/>
    <w:rsid w:val="00E8419D"/>
    <w:rsid w:val="00E8480E"/>
    <w:rsid w:val="00E84A9F"/>
    <w:rsid w:val="00E84C93"/>
    <w:rsid w:val="00E84EDE"/>
    <w:rsid w:val="00E84FC4"/>
    <w:rsid w:val="00E856D0"/>
    <w:rsid w:val="00E858D2"/>
    <w:rsid w:val="00E860FB"/>
    <w:rsid w:val="00E871D8"/>
    <w:rsid w:val="00E87B9F"/>
    <w:rsid w:val="00E87BB4"/>
    <w:rsid w:val="00E87CBE"/>
    <w:rsid w:val="00E90D8A"/>
    <w:rsid w:val="00E91359"/>
    <w:rsid w:val="00E91383"/>
    <w:rsid w:val="00E91E0A"/>
    <w:rsid w:val="00E922B1"/>
    <w:rsid w:val="00E92323"/>
    <w:rsid w:val="00E92374"/>
    <w:rsid w:val="00E92551"/>
    <w:rsid w:val="00E92602"/>
    <w:rsid w:val="00E927EC"/>
    <w:rsid w:val="00E929CB"/>
    <w:rsid w:val="00E9407F"/>
    <w:rsid w:val="00E94BC3"/>
    <w:rsid w:val="00E9535E"/>
    <w:rsid w:val="00E95465"/>
    <w:rsid w:val="00E958C8"/>
    <w:rsid w:val="00E95962"/>
    <w:rsid w:val="00E95F41"/>
    <w:rsid w:val="00E96D70"/>
    <w:rsid w:val="00E96F73"/>
    <w:rsid w:val="00E96FB4"/>
    <w:rsid w:val="00E970EA"/>
    <w:rsid w:val="00E97593"/>
    <w:rsid w:val="00E9766D"/>
    <w:rsid w:val="00E97CEC"/>
    <w:rsid w:val="00EA0295"/>
    <w:rsid w:val="00EA0DFB"/>
    <w:rsid w:val="00EA0E89"/>
    <w:rsid w:val="00EA1789"/>
    <w:rsid w:val="00EA1798"/>
    <w:rsid w:val="00EA18E4"/>
    <w:rsid w:val="00EA1EFF"/>
    <w:rsid w:val="00EA2688"/>
    <w:rsid w:val="00EA271B"/>
    <w:rsid w:val="00EA30A4"/>
    <w:rsid w:val="00EA325C"/>
    <w:rsid w:val="00EA3BDC"/>
    <w:rsid w:val="00EA3E19"/>
    <w:rsid w:val="00EA3FEC"/>
    <w:rsid w:val="00EA42A8"/>
    <w:rsid w:val="00EA437B"/>
    <w:rsid w:val="00EA4FE8"/>
    <w:rsid w:val="00EA5090"/>
    <w:rsid w:val="00EA58F0"/>
    <w:rsid w:val="00EA5E18"/>
    <w:rsid w:val="00EA5EA2"/>
    <w:rsid w:val="00EA63B8"/>
    <w:rsid w:val="00EA650E"/>
    <w:rsid w:val="00EA68F6"/>
    <w:rsid w:val="00EA728A"/>
    <w:rsid w:val="00EA79E2"/>
    <w:rsid w:val="00EB127D"/>
    <w:rsid w:val="00EB12FA"/>
    <w:rsid w:val="00EB1845"/>
    <w:rsid w:val="00EB18BA"/>
    <w:rsid w:val="00EB21E9"/>
    <w:rsid w:val="00EB27BD"/>
    <w:rsid w:val="00EB28BC"/>
    <w:rsid w:val="00EB37E0"/>
    <w:rsid w:val="00EB3E62"/>
    <w:rsid w:val="00EB3E68"/>
    <w:rsid w:val="00EB3FA8"/>
    <w:rsid w:val="00EB4417"/>
    <w:rsid w:val="00EB4909"/>
    <w:rsid w:val="00EB4ACD"/>
    <w:rsid w:val="00EB4B25"/>
    <w:rsid w:val="00EB4C7F"/>
    <w:rsid w:val="00EB5593"/>
    <w:rsid w:val="00EB5761"/>
    <w:rsid w:val="00EB6901"/>
    <w:rsid w:val="00EB6AAD"/>
    <w:rsid w:val="00EB74FF"/>
    <w:rsid w:val="00EC09C7"/>
    <w:rsid w:val="00EC0E7A"/>
    <w:rsid w:val="00EC13CC"/>
    <w:rsid w:val="00EC1763"/>
    <w:rsid w:val="00EC18E6"/>
    <w:rsid w:val="00EC1D88"/>
    <w:rsid w:val="00EC2051"/>
    <w:rsid w:val="00EC20C3"/>
    <w:rsid w:val="00EC3257"/>
    <w:rsid w:val="00EC4043"/>
    <w:rsid w:val="00EC437F"/>
    <w:rsid w:val="00EC45C6"/>
    <w:rsid w:val="00EC4A89"/>
    <w:rsid w:val="00EC4DA5"/>
    <w:rsid w:val="00EC515E"/>
    <w:rsid w:val="00EC51B5"/>
    <w:rsid w:val="00EC52EA"/>
    <w:rsid w:val="00EC5839"/>
    <w:rsid w:val="00EC5D10"/>
    <w:rsid w:val="00EC61C8"/>
    <w:rsid w:val="00EC65C0"/>
    <w:rsid w:val="00EC6742"/>
    <w:rsid w:val="00EC688A"/>
    <w:rsid w:val="00EC6F6F"/>
    <w:rsid w:val="00EC7642"/>
    <w:rsid w:val="00EC79DB"/>
    <w:rsid w:val="00EC7C37"/>
    <w:rsid w:val="00EC7CC6"/>
    <w:rsid w:val="00EC7F65"/>
    <w:rsid w:val="00EC7F79"/>
    <w:rsid w:val="00ED0465"/>
    <w:rsid w:val="00ED0604"/>
    <w:rsid w:val="00ED0E70"/>
    <w:rsid w:val="00ED17EC"/>
    <w:rsid w:val="00ED1A54"/>
    <w:rsid w:val="00ED1DCD"/>
    <w:rsid w:val="00ED2FAC"/>
    <w:rsid w:val="00ED3211"/>
    <w:rsid w:val="00ED3379"/>
    <w:rsid w:val="00ED3F09"/>
    <w:rsid w:val="00ED4745"/>
    <w:rsid w:val="00ED4763"/>
    <w:rsid w:val="00ED476D"/>
    <w:rsid w:val="00ED4AE0"/>
    <w:rsid w:val="00ED51F4"/>
    <w:rsid w:val="00ED5875"/>
    <w:rsid w:val="00ED5AAF"/>
    <w:rsid w:val="00ED5FA2"/>
    <w:rsid w:val="00ED65A1"/>
    <w:rsid w:val="00ED6736"/>
    <w:rsid w:val="00ED6B6F"/>
    <w:rsid w:val="00ED733B"/>
    <w:rsid w:val="00ED73C4"/>
    <w:rsid w:val="00EE09AB"/>
    <w:rsid w:val="00EE0C7E"/>
    <w:rsid w:val="00EE1A33"/>
    <w:rsid w:val="00EE2828"/>
    <w:rsid w:val="00EE28FE"/>
    <w:rsid w:val="00EE2D8F"/>
    <w:rsid w:val="00EE2FB8"/>
    <w:rsid w:val="00EE35F7"/>
    <w:rsid w:val="00EE3BBE"/>
    <w:rsid w:val="00EE3DE9"/>
    <w:rsid w:val="00EE42FD"/>
    <w:rsid w:val="00EE54E0"/>
    <w:rsid w:val="00EE57B6"/>
    <w:rsid w:val="00EE5B33"/>
    <w:rsid w:val="00EE614E"/>
    <w:rsid w:val="00EE690C"/>
    <w:rsid w:val="00EE6C00"/>
    <w:rsid w:val="00EF04C7"/>
    <w:rsid w:val="00EF04EF"/>
    <w:rsid w:val="00EF0925"/>
    <w:rsid w:val="00EF0BE2"/>
    <w:rsid w:val="00EF1DE2"/>
    <w:rsid w:val="00EF1F39"/>
    <w:rsid w:val="00EF2343"/>
    <w:rsid w:val="00EF24E2"/>
    <w:rsid w:val="00EF269D"/>
    <w:rsid w:val="00EF2A28"/>
    <w:rsid w:val="00EF2E06"/>
    <w:rsid w:val="00EF2E27"/>
    <w:rsid w:val="00EF2F94"/>
    <w:rsid w:val="00EF3769"/>
    <w:rsid w:val="00EF39C0"/>
    <w:rsid w:val="00EF3B8B"/>
    <w:rsid w:val="00EF3C13"/>
    <w:rsid w:val="00EF3DB9"/>
    <w:rsid w:val="00EF3DE9"/>
    <w:rsid w:val="00EF4D83"/>
    <w:rsid w:val="00EF5EB6"/>
    <w:rsid w:val="00EF6873"/>
    <w:rsid w:val="00EF6FAA"/>
    <w:rsid w:val="00EF7294"/>
    <w:rsid w:val="00EF7485"/>
    <w:rsid w:val="00EF7745"/>
    <w:rsid w:val="00EF7836"/>
    <w:rsid w:val="00EF7C63"/>
    <w:rsid w:val="00F009C5"/>
    <w:rsid w:val="00F00F87"/>
    <w:rsid w:val="00F0126F"/>
    <w:rsid w:val="00F0183B"/>
    <w:rsid w:val="00F0186C"/>
    <w:rsid w:val="00F01F36"/>
    <w:rsid w:val="00F01F70"/>
    <w:rsid w:val="00F024D7"/>
    <w:rsid w:val="00F02803"/>
    <w:rsid w:val="00F02EF7"/>
    <w:rsid w:val="00F03293"/>
    <w:rsid w:val="00F034FF"/>
    <w:rsid w:val="00F035B7"/>
    <w:rsid w:val="00F03B35"/>
    <w:rsid w:val="00F03D2C"/>
    <w:rsid w:val="00F0405C"/>
    <w:rsid w:val="00F041BC"/>
    <w:rsid w:val="00F058EB"/>
    <w:rsid w:val="00F05A61"/>
    <w:rsid w:val="00F067EA"/>
    <w:rsid w:val="00F06814"/>
    <w:rsid w:val="00F0705A"/>
    <w:rsid w:val="00F070E0"/>
    <w:rsid w:val="00F07A75"/>
    <w:rsid w:val="00F07DD2"/>
    <w:rsid w:val="00F07E59"/>
    <w:rsid w:val="00F10080"/>
    <w:rsid w:val="00F1094F"/>
    <w:rsid w:val="00F10BAD"/>
    <w:rsid w:val="00F10C4D"/>
    <w:rsid w:val="00F11069"/>
    <w:rsid w:val="00F110BC"/>
    <w:rsid w:val="00F11629"/>
    <w:rsid w:val="00F119DF"/>
    <w:rsid w:val="00F11B91"/>
    <w:rsid w:val="00F11C42"/>
    <w:rsid w:val="00F121AA"/>
    <w:rsid w:val="00F12BD2"/>
    <w:rsid w:val="00F12DB6"/>
    <w:rsid w:val="00F131D4"/>
    <w:rsid w:val="00F13797"/>
    <w:rsid w:val="00F13C22"/>
    <w:rsid w:val="00F13D27"/>
    <w:rsid w:val="00F14B0E"/>
    <w:rsid w:val="00F14DB9"/>
    <w:rsid w:val="00F14F1F"/>
    <w:rsid w:val="00F15E7E"/>
    <w:rsid w:val="00F16469"/>
    <w:rsid w:val="00F16CF1"/>
    <w:rsid w:val="00F16D65"/>
    <w:rsid w:val="00F17437"/>
    <w:rsid w:val="00F1787E"/>
    <w:rsid w:val="00F20133"/>
    <w:rsid w:val="00F20498"/>
    <w:rsid w:val="00F20D1A"/>
    <w:rsid w:val="00F211BF"/>
    <w:rsid w:val="00F21D4A"/>
    <w:rsid w:val="00F222D3"/>
    <w:rsid w:val="00F228FE"/>
    <w:rsid w:val="00F232BC"/>
    <w:rsid w:val="00F23C70"/>
    <w:rsid w:val="00F24161"/>
    <w:rsid w:val="00F241D5"/>
    <w:rsid w:val="00F2455B"/>
    <w:rsid w:val="00F25D9B"/>
    <w:rsid w:val="00F261AB"/>
    <w:rsid w:val="00F26265"/>
    <w:rsid w:val="00F26FBC"/>
    <w:rsid w:val="00F2721B"/>
    <w:rsid w:val="00F27662"/>
    <w:rsid w:val="00F27A71"/>
    <w:rsid w:val="00F30D29"/>
    <w:rsid w:val="00F30EC3"/>
    <w:rsid w:val="00F3177C"/>
    <w:rsid w:val="00F31825"/>
    <w:rsid w:val="00F31C68"/>
    <w:rsid w:val="00F320C4"/>
    <w:rsid w:val="00F321CA"/>
    <w:rsid w:val="00F32210"/>
    <w:rsid w:val="00F322F8"/>
    <w:rsid w:val="00F323C2"/>
    <w:rsid w:val="00F323CD"/>
    <w:rsid w:val="00F3284E"/>
    <w:rsid w:val="00F32D56"/>
    <w:rsid w:val="00F33053"/>
    <w:rsid w:val="00F3350F"/>
    <w:rsid w:val="00F33F43"/>
    <w:rsid w:val="00F34AF3"/>
    <w:rsid w:val="00F3516F"/>
    <w:rsid w:val="00F358AB"/>
    <w:rsid w:val="00F35915"/>
    <w:rsid w:val="00F35CE3"/>
    <w:rsid w:val="00F35F26"/>
    <w:rsid w:val="00F3645E"/>
    <w:rsid w:val="00F37063"/>
    <w:rsid w:val="00F37251"/>
    <w:rsid w:val="00F37614"/>
    <w:rsid w:val="00F376A9"/>
    <w:rsid w:val="00F37BFE"/>
    <w:rsid w:val="00F4002E"/>
    <w:rsid w:val="00F40364"/>
    <w:rsid w:val="00F40D7D"/>
    <w:rsid w:val="00F40F54"/>
    <w:rsid w:val="00F415B8"/>
    <w:rsid w:val="00F41775"/>
    <w:rsid w:val="00F41B84"/>
    <w:rsid w:val="00F41C62"/>
    <w:rsid w:val="00F41D2E"/>
    <w:rsid w:val="00F42BCB"/>
    <w:rsid w:val="00F43692"/>
    <w:rsid w:val="00F43E21"/>
    <w:rsid w:val="00F44532"/>
    <w:rsid w:val="00F44771"/>
    <w:rsid w:val="00F448A4"/>
    <w:rsid w:val="00F4502B"/>
    <w:rsid w:val="00F45218"/>
    <w:rsid w:val="00F455B0"/>
    <w:rsid w:val="00F455EB"/>
    <w:rsid w:val="00F4570D"/>
    <w:rsid w:val="00F45779"/>
    <w:rsid w:val="00F458A5"/>
    <w:rsid w:val="00F45F98"/>
    <w:rsid w:val="00F46238"/>
    <w:rsid w:val="00F4644D"/>
    <w:rsid w:val="00F46661"/>
    <w:rsid w:val="00F470B5"/>
    <w:rsid w:val="00F47142"/>
    <w:rsid w:val="00F4743D"/>
    <w:rsid w:val="00F47443"/>
    <w:rsid w:val="00F47B85"/>
    <w:rsid w:val="00F47E2F"/>
    <w:rsid w:val="00F5027C"/>
    <w:rsid w:val="00F50563"/>
    <w:rsid w:val="00F51968"/>
    <w:rsid w:val="00F521E6"/>
    <w:rsid w:val="00F52815"/>
    <w:rsid w:val="00F5287C"/>
    <w:rsid w:val="00F533E4"/>
    <w:rsid w:val="00F535AE"/>
    <w:rsid w:val="00F53DF5"/>
    <w:rsid w:val="00F554F8"/>
    <w:rsid w:val="00F560C0"/>
    <w:rsid w:val="00F57570"/>
    <w:rsid w:val="00F6046C"/>
    <w:rsid w:val="00F608FC"/>
    <w:rsid w:val="00F6129C"/>
    <w:rsid w:val="00F614FC"/>
    <w:rsid w:val="00F615C4"/>
    <w:rsid w:val="00F6297E"/>
    <w:rsid w:val="00F629AC"/>
    <w:rsid w:val="00F62C8D"/>
    <w:rsid w:val="00F6354B"/>
    <w:rsid w:val="00F638B6"/>
    <w:rsid w:val="00F63A37"/>
    <w:rsid w:val="00F63CB7"/>
    <w:rsid w:val="00F640D3"/>
    <w:rsid w:val="00F644C1"/>
    <w:rsid w:val="00F64836"/>
    <w:rsid w:val="00F64A78"/>
    <w:rsid w:val="00F652E9"/>
    <w:rsid w:val="00F65666"/>
    <w:rsid w:val="00F6588D"/>
    <w:rsid w:val="00F658AF"/>
    <w:rsid w:val="00F669D1"/>
    <w:rsid w:val="00F66C01"/>
    <w:rsid w:val="00F66D30"/>
    <w:rsid w:val="00F6700B"/>
    <w:rsid w:val="00F67371"/>
    <w:rsid w:val="00F6789A"/>
    <w:rsid w:val="00F679A0"/>
    <w:rsid w:val="00F67AC5"/>
    <w:rsid w:val="00F7000D"/>
    <w:rsid w:val="00F7036A"/>
    <w:rsid w:val="00F703C7"/>
    <w:rsid w:val="00F704CE"/>
    <w:rsid w:val="00F706CB"/>
    <w:rsid w:val="00F70B75"/>
    <w:rsid w:val="00F70C61"/>
    <w:rsid w:val="00F70DED"/>
    <w:rsid w:val="00F70EB7"/>
    <w:rsid w:val="00F71120"/>
    <w:rsid w:val="00F719BE"/>
    <w:rsid w:val="00F71A5E"/>
    <w:rsid w:val="00F720B0"/>
    <w:rsid w:val="00F72121"/>
    <w:rsid w:val="00F730C4"/>
    <w:rsid w:val="00F730CB"/>
    <w:rsid w:val="00F739FC"/>
    <w:rsid w:val="00F73E5F"/>
    <w:rsid w:val="00F73FC2"/>
    <w:rsid w:val="00F74669"/>
    <w:rsid w:val="00F75D62"/>
    <w:rsid w:val="00F76D56"/>
    <w:rsid w:val="00F77DD8"/>
    <w:rsid w:val="00F77E74"/>
    <w:rsid w:val="00F8004E"/>
    <w:rsid w:val="00F80A6C"/>
    <w:rsid w:val="00F8103A"/>
    <w:rsid w:val="00F817BB"/>
    <w:rsid w:val="00F81A5F"/>
    <w:rsid w:val="00F81D58"/>
    <w:rsid w:val="00F8277B"/>
    <w:rsid w:val="00F82A9F"/>
    <w:rsid w:val="00F82B47"/>
    <w:rsid w:val="00F82CDD"/>
    <w:rsid w:val="00F82D62"/>
    <w:rsid w:val="00F82FD7"/>
    <w:rsid w:val="00F8371A"/>
    <w:rsid w:val="00F8433F"/>
    <w:rsid w:val="00F84468"/>
    <w:rsid w:val="00F844FA"/>
    <w:rsid w:val="00F846D2"/>
    <w:rsid w:val="00F846D5"/>
    <w:rsid w:val="00F84D57"/>
    <w:rsid w:val="00F84EFC"/>
    <w:rsid w:val="00F850E3"/>
    <w:rsid w:val="00F85DE1"/>
    <w:rsid w:val="00F86901"/>
    <w:rsid w:val="00F86C6E"/>
    <w:rsid w:val="00F86FC2"/>
    <w:rsid w:val="00F87DBB"/>
    <w:rsid w:val="00F902F7"/>
    <w:rsid w:val="00F903B9"/>
    <w:rsid w:val="00F904FB"/>
    <w:rsid w:val="00F909BB"/>
    <w:rsid w:val="00F914FD"/>
    <w:rsid w:val="00F91666"/>
    <w:rsid w:val="00F9173E"/>
    <w:rsid w:val="00F91CB3"/>
    <w:rsid w:val="00F91D14"/>
    <w:rsid w:val="00F92797"/>
    <w:rsid w:val="00F92BBC"/>
    <w:rsid w:val="00F93637"/>
    <w:rsid w:val="00F93B8C"/>
    <w:rsid w:val="00F93C84"/>
    <w:rsid w:val="00F93F1B"/>
    <w:rsid w:val="00F941ED"/>
    <w:rsid w:val="00F94410"/>
    <w:rsid w:val="00F94523"/>
    <w:rsid w:val="00F9452F"/>
    <w:rsid w:val="00F94783"/>
    <w:rsid w:val="00F9487D"/>
    <w:rsid w:val="00F95DCF"/>
    <w:rsid w:val="00F95FAB"/>
    <w:rsid w:val="00F961C1"/>
    <w:rsid w:val="00F96652"/>
    <w:rsid w:val="00F96851"/>
    <w:rsid w:val="00F96E11"/>
    <w:rsid w:val="00F96ECE"/>
    <w:rsid w:val="00F970CC"/>
    <w:rsid w:val="00F97702"/>
    <w:rsid w:val="00F97C4D"/>
    <w:rsid w:val="00FA0B78"/>
    <w:rsid w:val="00FA0BB2"/>
    <w:rsid w:val="00FA2918"/>
    <w:rsid w:val="00FA3A96"/>
    <w:rsid w:val="00FA426F"/>
    <w:rsid w:val="00FA44C2"/>
    <w:rsid w:val="00FA483C"/>
    <w:rsid w:val="00FA49FF"/>
    <w:rsid w:val="00FA4A8B"/>
    <w:rsid w:val="00FA4F14"/>
    <w:rsid w:val="00FA5058"/>
    <w:rsid w:val="00FA52E9"/>
    <w:rsid w:val="00FA547F"/>
    <w:rsid w:val="00FA56E6"/>
    <w:rsid w:val="00FA5780"/>
    <w:rsid w:val="00FA5F7E"/>
    <w:rsid w:val="00FA661E"/>
    <w:rsid w:val="00FA68A8"/>
    <w:rsid w:val="00FA697B"/>
    <w:rsid w:val="00FA7189"/>
    <w:rsid w:val="00FA756A"/>
    <w:rsid w:val="00FA77EF"/>
    <w:rsid w:val="00FA7A51"/>
    <w:rsid w:val="00FA7C66"/>
    <w:rsid w:val="00FA7F96"/>
    <w:rsid w:val="00FB1368"/>
    <w:rsid w:val="00FB14A8"/>
    <w:rsid w:val="00FB260A"/>
    <w:rsid w:val="00FB348A"/>
    <w:rsid w:val="00FB3CA2"/>
    <w:rsid w:val="00FB42CC"/>
    <w:rsid w:val="00FB433A"/>
    <w:rsid w:val="00FB437B"/>
    <w:rsid w:val="00FB55AC"/>
    <w:rsid w:val="00FB5614"/>
    <w:rsid w:val="00FB6214"/>
    <w:rsid w:val="00FB6AE9"/>
    <w:rsid w:val="00FB6CE7"/>
    <w:rsid w:val="00FB6DE6"/>
    <w:rsid w:val="00FB6FA3"/>
    <w:rsid w:val="00FB709F"/>
    <w:rsid w:val="00FB7122"/>
    <w:rsid w:val="00FB74F8"/>
    <w:rsid w:val="00FC0DD3"/>
    <w:rsid w:val="00FC0DFC"/>
    <w:rsid w:val="00FC108B"/>
    <w:rsid w:val="00FC11E8"/>
    <w:rsid w:val="00FC1300"/>
    <w:rsid w:val="00FC14C6"/>
    <w:rsid w:val="00FC2660"/>
    <w:rsid w:val="00FC2693"/>
    <w:rsid w:val="00FC26EC"/>
    <w:rsid w:val="00FC306C"/>
    <w:rsid w:val="00FC3EF4"/>
    <w:rsid w:val="00FC3F4B"/>
    <w:rsid w:val="00FC494A"/>
    <w:rsid w:val="00FC4CA1"/>
    <w:rsid w:val="00FC4F00"/>
    <w:rsid w:val="00FC553B"/>
    <w:rsid w:val="00FC57EA"/>
    <w:rsid w:val="00FC5957"/>
    <w:rsid w:val="00FC5E18"/>
    <w:rsid w:val="00FC6446"/>
    <w:rsid w:val="00FC6715"/>
    <w:rsid w:val="00FC6A1D"/>
    <w:rsid w:val="00FC7012"/>
    <w:rsid w:val="00FC796B"/>
    <w:rsid w:val="00FD0665"/>
    <w:rsid w:val="00FD1205"/>
    <w:rsid w:val="00FD18FB"/>
    <w:rsid w:val="00FD1B63"/>
    <w:rsid w:val="00FD2B8B"/>
    <w:rsid w:val="00FD4486"/>
    <w:rsid w:val="00FD47D0"/>
    <w:rsid w:val="00FD4B4F"/>
    <w:rsid w:val="00FD4C74"/>
    <w:rsid w:val="00FD596D"/>
    <w:rsid w:val="00FD59C7"/>
    <w:rsid w:val="00FD6330"/>
    <w:rsid w:val="00FD6667"/>
    <w:rsid w:val="00FD6731"/>
    <w:rsid w:val="00FD675D"/>
    <w:rsid w:val="00FD71B7"/>
    <w:rsid w:val="00FD751B"/>
    <w:rsid w:val="00FD7C39"/>
    <w:rsid w:val="00FD7FF2"/>
    <w:rsid w:val="00FE0231"/>
    <w:rsid w:val="00FE0B3D"/>
    <w:rsid w:val="00FE0DDD"/>
    <w:rsid w:val="00FE0F07"/>
    <w:rsid w:val="00FE1076"/>
    <w:rsid w:val="00FE1658"/>
    <w:rsid w:val="00FE1964"/>
    <w:rsid w:val="00FE1BBD"/>
    <w:rsid w:val="00FE33E1"/>
    <w:rsid w:val="00FE38CB"/>
    <w:rsid w:val="00FE3C45"/>
    <w:rsid w:val="00FE3FC2"/>
    <w:rsid w:val="00FE400F"/>
    <w:rsid w:val="00FE4420"/>
    <w:rsid w:val="00FE4CE2"/>
    <w:rsid w:val="00FE4D35"/>
    <w:rsid w:val="00FE5567"/>
    <w:rsid w:val="00FE5D55"/>
    <w:rsid w:val="00FE6713"/>
    <w:rsid w:val="00FE68F6"/>
    <w:rsid w:val="00FF0B17"/>
    <w:rsid w:val="00FF12B4"/>
    <w:rsid w:val="00FF173C"/>
    <w:rsid w:val="00FF2290"/>
    <w:rsid w:val="00FF232C"/>
    <w:rsid w:val="00FF27E3"/>
    <w:rsid w:val="00FF2AC7"/>
    <w:rsid w:val="00FF378E"/>
    <w:rsid w:val="00FF4F11"/>
    <w:rsid w:val="00FF56CA"/>
    <w:rsid w:val="00FF572A"/>
    <w:rsid w:val="00FF584E"/>
    <w:rsid w:val="00FF5942"/>
    <w:rsid w:val="00FF5E36"/>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397"/>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semiHidden/>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semiHidden/>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openxmlformats.org/officeDocument/2006/relationships/image" Target="../media/image2.jpeg"/><Relationship Id="rId1" Type="http://schemas.openxmlformats.org/officeDocument/2006/relationships/image" Target="../media/image1.jpeg"/></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file:///\\Fu-srv1\&#1083;&#1072;&#1088;&#1080;&#1089;&#1072;%20&#1083;&#1077;&#1086;&#1085;&#1110;&#1076;&#1110;&#1074;&#1085;&#1072;%20&#1087;&#1082;\2021\&#1042;&#1080;&#1082;&#1086;&#1085;&#1072;&#1085;&#1085;&#1103;%20&#1073;&#1102;&#1076;&#1078;&#1077;&#1090;&#1091;\&#1079;&#1072;%20I%20&#1082;&#1074;&#1072;&#1088;&#1090;&#1072;&#1083;%202021%20&#1088;&#1086;&#1082;&#1091;\&#1044;&#1110;&#1072;&#1075;&#1088;&#1072;&#1084;&#1080;.xlsx" TargetMode="External"/></Relationships>
</file>

<file path=word/charts/_rels/chart11.xml.rels><?xml version="1.0" encoding="UTF-8" standalone="yes"?>
<Relationships xmlns="http://schemas.openxmlformats.org/package/2006/relationships"><Relationship Id="rId2" Type="http://schemas.openxmlformats.org/officeDocument/2006/relationships/oleObject" Target="file:///\\Fu-srv1\&#1083;&#1072;&#1088;&#1080;&#1089;&#1072;%20&#1083;&#1077;&#1086;&#1085;&#1110;&#1076;&#1110;&#1074;&#1085;&#1072;%20&#1087;&#1082;\2021\&#1042;&#1080;&#1082;&#1086;&#1085;&#1072;&#1085;&#1085;&#1103;%20&#1073;&#1102;&#1076;&#1078;&#1077;&#1090;&#1091;\&#1079;&#1072;%20I%20&#1082;&#1074;&#1072;&#1088;&#1090;&#1072;&#1083;%202021%20&#1088;&#1086;&#1082;&#1091;\&#1089;&#1090;&#1088;&#1091;&#1082;&#1090;&#1091;&#1088;&#1072;%20&#1082;&#1091;&#1083;&#1100;&#1090;&#1091;&#1088;&#1072;.xlsx" TargetMode="External"/><Relationship Id="rId1" Type="http://schemas.openxmlformats.org/officeDocument/2006/relationships/themeOverride" Target="../theme/themeOverride3.xml"/></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_rels/chart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oleObject" Target="file:///D:\&#1041;&#1070;&#1044;&#1046;&#1045;&#1058;%202021%20&#1053;&#1054;&#1042;&#1045;\&#1050;&#1086;&#1090;&#1083;&#1086;&#1074;&#1110;\&#1076;&#1110;&#1072;&#1075;&#1088;&#1072;&#1084;&#1072;.xls" TargetMode="Externa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2.xml"/><Relationship Id="rId1" Type="http://schemas.microsoft.com/office/2011/relationships/chartStyle" Target="style2.xml"/></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3.xml"/><Relationship Id="rId1" Type="http://schemas.microsoft.com/office/2011/relationships/chartStyle" Target="style3.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1.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latin typeface="Times New Roman" pitchFamily="18" charset="0"/>
                <a:cs typeface="Times New Roman" pitchFamily="18" charset="0"/>
              </a:defRPr>
            </a:pPr>
            <a:r>
              <a:rPr lang="uk-UA" sz="1100">
                <a:latin typeface="Times New Roman" pitchFamily="18" charset="0"/>
                <a:cs typeface="Times New Roman" pitchFamily="18" charset="0"/>
              </a:rPr>
              <a:t>Структура надходжень до загального фонду місцевого бюджету </a:t>
            </a:r>
          </a:p>
          <a:p>
            <a:pPr>
              <a:defRPr sz="1100">
                <a:latin typeface="Times New Roman" pitchFamily="18" charset="0"/>
                <a:cs typeface="Times New Roman" pitchFamily="18" charset="0"/>
              </a:defRPr>
            </a:pPr>
            <a:r>
              <a:rPr lang="uk-UA" sz="1100">
                <a:latin typeface="Times New Roman" pitchFamily="18" charset="0"/>
                <a:cs typeface="Times New Roman" pitchFamily="18" charset="0"/>
              </a:rPr>
              <a:t>(без врахування трансфертів) </a:t>
            </a:r>
          </a:p>
          <a:p>
            <a:pPr>
              <a:defRPr sz="1100">
                <a:latin typeface="Times New Roman" pitchFamily="18" charset="0"/>
                <a:cs typeface="Times New Roman" pitchFamily="18" charset="0"/>
              </a:defRPr>
            </a:pPr>
            <a:r>
              <a:rPr lang="uk-UA" sz="1100">
                <a:latin typeface="Times New Roman" pitchFamily="18" charset="0"/>
                <a:cs typeface="Times New Roman" pitchFamily="18" charset="0"/>
              </a:rPr>
              <a:t>Бучанської міської ТГ </a:t>
            </a:r>
          </a:p>
          <a:p>
            <a:pPr>
              <a:defRPr sz="1100">
                <a:latin typeface="Times New Roman" pitchFamily="18" charset="0"/>
                <a:cs typeface="Times New Roman" pitchFamily="18" charset="0"/>
              </a:defRPr>
            </a:pPr>
            <a:r>
              <a:rPr lang="uk-UA" sz="1100">
                <a:latin typeface="Times New Roman" pitchFamily="18" charset="0"/>
                <a:cs typeface="Times New Roman" pitchFamily="18" charset="0"/>
              </a:rPr>
              <a:t>в 1 кварталі 2021 року</a:t>
            </a:r>
          </a:p>
        </c:rich>
      </c:tx>
      <c:layout>
        <c:manualLayout>
          <c:xMode val="edge"/>
          <c:yMode val="edge"/>
          <c:x val="0.12052027833980478"/>
          <c:y val="0"/>
        </c:manualLayout>
      </c:layout>
      <c:overlay val="0"/>
    </c:title>
    <c:autoTitleDeleted val="0"/>
    <c:view3D>
      <c:rotX val="40"/>
      <c:rotY val="0"/>
      <c:rAngAx val="0"/>
    </c:view3D>
    <c:floor>
      <c:thickness val="0"/>
    </c:floor>
    <c:sideWall>
      <c:thickness val="0"/>
    </c:sideWall>
    <c:backWall>
      <c:thickness val="0"/>
    </c:backWall>
    <c:plotArea>
      <c:layout>
        <c:manualLayout>
          <c:layoutTarget val="inner"/>
          <c:xMode val="edge"/>
          <c:yMode val="edge"/>
          <c:x val="0"/>
          <c:y val="0.26952182447782264"/>
          <c:w val="1"/>
          <c:h val="0.70688934431141315"/>
        </c:manualLayout>
      </c:layout>
      <c:pie3DChart>
        <c:varyColors val="1"/>
        <c:ser>
          <c:idx val="0"/>
          <c:order val="0"/>
          <c:tx>
            <c:strRef>
              <c:f>Лист1!$B$1</c:f>
              <c:strCache>
                <c:ptCount val="1"/>
                <c:pt idx="0">
                  <c:v>Структура надходжень до місцевого бюджету Бучанської міської ТГ в 1 кварталі 2021 року</c:v>
                </c:pt>
              </c:strCache>
            </c:strRef>
          </c:tx>
          <c:spPr>
            <a:ln>
              <a:solidFill>
                <a:schemeClr val="tx1"/>
              </a:solidFill>
            </a:ln>
            <a:scene3d>
              <a:camera prst="orthographicFront"/>
              <a:lightRig rig="threePt" dir="t"/>
            </a:scene3d>
            <a:sp3d prstMaterial="flat">
              <a:bevelT/>
              <a:contourClr>
                <a:srgbClr val="000000"/>
              </a:contourClr>
            </a:sp3d>
          </c:spPr>
          <c:explosion val="2"/>
          <c:dPt>
            <c:idx val="0"/>
            <c:bubble3D val="0"/>
            <c:spPr>
              <a:blipFill>
                <a:blip xmlns:r="http://schemas.openxmlformats.org/officeDocument/2006/relationships" r:embed="rId1"/>
                <a:tile tx="0" ty="0" sx="100000" sy="100000" flip="none" algn="tl"/>
              </a:blipFill>
              <a:ln>
                <a:solidFill>
                  <a:schemeClr val="tx1"/>
                </a:solidFill>
              </a:ln>
              <a:scene3d>
                <a:camera prst="orthographicFront"/>
                <a:lightRig rig="threePt" dir="t"/>
              </a:scene3d>
              <a:sp3d prstMaterial="flat">
                <a:bevelT/>
                <a:contourClr>
                  <a:srgbClr val="000000"/>
                </a:contourClr>
              </a:sp3d>
            </c:spPr>
            <c:extLst xmlns:c16r2="http://schemas.microsoft.com/office/drawing/2015/06/chart">
              <c:ext xmlns:c16="http://schemas.microsoft.com/office/drawing/2014/chart" uri="{C3380CC4-5D6E-409C-BE32-E72D297353CC}">
                <c16:uniqueId val="{00000001-5807-4C37-9113-42E665AB8214}"/>
              </c:ext>
            </c:extLst>
          </c:dPt>
          <c:dPt>
            <c:idx val="1"/>
            <c:bubble3D val="0"/>
            <c:spPr>
              <a:solidFill>
                <a:schemeClr val="accent4">
                  <a:lumMod val="40000"/>
                  <a:lumOff val="60000"/>
                </a:schemeClr>
              </a:solidFill>
              <a:ln>
                <a:solidFill>
                  <a:schemeClr val="tx1"/>
                </a:solidFill>
              </a:ln>
              <a:scene3d>
                <a:camera prst="orthographicFront"/>
                <a:lightRig rig="threePt" dir="t"/>
              </a:scene3d>
              <a:sp3d prstMaterial="flat">
                <a:bevelT/>
                <a:contourClr>
                  <a:srgbClr val="000000"/>
                </a:contourClr>
              </a:sp3d>
            </c:spPr>
            <c:extLst xmlns:c16r2="http://schemas.microsoft.com/office/drawing/2015/06/chart">
              <c:ext xmlns:c16="http://schemas.microsoft.com/office/drawing/2014/chart" uri="{C3380CC4-5D6E-409C-BE32-E72D297353CC}">
                <c16:uniqueId val="{00000003-5807-4C37-9113-42E665AB8214}"/>
              </c:ext>
            </c:extLst>
          </c:dPt>
          <c:dPt>
            <c:idx val="2"/>
            <c:bubble3D val="0"/>
            <c:spPr>
              <a:blipFill>
                <a:blip xmlns:r="http://schemas.openxmlformats.org/officeDocument/2006/relationships" r:embed="rId2"/>
                <a:tile tx="0" ty="0" sx="100000" sy="100000" flip="none" algn="tl"/>
              </a:blipFill>
              <a:ln>
                <a:solidFill>
                  <a:schemeClr val="tx1"/>
                </a:solidFill>
              </a:ln>
              <a:scene3d>
                <a:camera prst="orthographicFront"/>
                <a:lightRig rig="threePt" dir="t"/>
              </a:scene3d>
              <a:sp3d prstMaterial="flat">
                <a:bevelT/>
                <a:contourClr>
                  <a:srgbClr val="000000"/>
                </a:contourClr>
              </a:sp3d>
            </c:spPr>
            <c:extLst xmlns:c16r2="http://schemas.microsoft.com/office/drawing/2015/06/chart">
              <c:ext xmlns:c16="http://schemas.microsoft.com/office/drawing/2014/chart" uri="{C3380CC4-5D6E-409C-BE32-E72D297353CC}">
                <c16:uniqueId val="{00000005-5807-4C37-9113-42E665AB8214}"/>
              </c:ext>
            </c:extLst>
          </c:dPt>
          <c:dPt>
            <c:idx val="3"/>
            <c:bubble3D val="0"/>
            <c:spPr>
              <a:solidFill>
                <a:srgbClr val="5DCAD5"/>
              </a:solidFill>
              <a:ln>
                <a:solidFill>
                  <a:schemeClr val="tx1"/>
                </a:solidFill>
              </a:ln>
              <a:scene3d>
                <a:camera prst="orthographicFront"/>
                <a:lightRig rig="threePt" dir="t"/>
              </a:scene3d>
              <a:sp3d prstMaterial="flat">
                <a:bevelT/>
                <a:contourClr>
                  <a:srgbClr val="000000"/>
                </a:contourClr>
              </a:sp3d>
            </c:spPr>
            <c:extLst xmlns:c16r2="http://schemas.microsoft.com/office/drawing/2015/06/chart">
              <c:ext xmlns:c16="http://schemas.microsoft.com/office/drawing/2014/chart" uri="{C3380CC4-5D6E-409C-BE32-E72D297353CC}">
                <c16:uniqueId val="{00000007-5807-4C37-9113-42E665AB8214}"/>
              </c:ext>
            </c:extLst>
          </c:dPt>
          <c:dPt>
            <c:idx val="4"/>
            <c:bubble3D val="0"/>
            <c:spPr>
              <a:solidFill>
                <a:schemeClr val="accent6">
                  <a:lumMod val="40000"/>
                  <a:lumOff val="60000"/>
                </a:schemeClr>
              </a:solidFill>
              <a:ln>
                <a:solidFill>
                  <a:schemeClr val="tx1"/>
                </a:solidFill>
              </a:ln>
              <a:scene3d>
                <a:camera prst="orthographicFront"/>
                <a:lightRig rig="threePt" dir="t"/>
              </a:scene3d>
              <a:sp3d prstMaterial="flat">
                <a:bevelT/>
                <a:contourClr>
                  <a:srgbClr val="000000"/>
                </a:contourClr>
              </a:sp3d>
            </c:spPr>
            <c:extLst xmlns:c16r2="http://schemas.microsoft.com/office/drawing/2015/06/chart">
              <c:ext xmlns:c16="http://schemas.microsoft.com/office/drawing/2014/chart" uri="{C3380CC4-5D6E-409C-BE32-E72D297353CC}">
                <c16:uniqueId val="{00000009-5807-4C37-9113-42E665AB8214}"/>
              </c:ext>
            </c:extLst>
          </c:dPt>
          <c:dPt>
            <c:idx val="5"/>
            <c:bubble3D val="0"/>
            <c:explosion val="1"/>
            <c:spPr>
              <a:solidFill>
                <a:schemeClr val="accent1">
                  <a:lumMod val="40000"/>
                  <a:lumOff val="60000"/>
                </a:schemeClr>
              </a:solidFill>
              <a:ln>
                <a:solidFill>
                  <a:schemeClr val="tx1"/>
                </a:solidFill>
              </a:ln>
              <a:scene3d>
                <a:camera prst="orthographicFront"/>
                <a:lightRig rig="threePt" dir="t"/>
              </a:scene3d>
              <a:sp3d prstMaterial="flat">
                <a:bevelT/>
                <a:contourClr>
                  <a:srgbClr val="000000"/>
                </a:contourClr>
              </a:sp3d>
            </c:spPr>
            <c:extLst xmlns:c16r2="http://schemas.microsoft.com/office/drawing/2015/06/chart">
              <c:ext xmlns:c16="http://schemas.microsoft.com/office/drawing/2014/chart" uri="{C3380CC4-5D6E-409C-BE32-E72D297353CC}">
                <c16:uniqueId val="{0000000B-5807-4C37-9113-42E665AB8214}"/>
              </c:ext>
            </c:extLst>
          </c:dPt>
          <c:dLbls>
            <c:dLbl>
              <c:idx val="0"/>
              <c:layout>
                <c:manualLayout>
                  <c:x val="-0.24041288370082153"/>
                  <c:y val="-1.1923141960196152E-2"/>
                </c:manualLayout>
              </c:layout>
              <c:tx>
                <c:rich>
                  <a:bodyPr/>
                  <a:lstStyle/>
                  <a:p>
                    <a:r>
                      <a:rPr lang="uk-UA" sz="1000" b="1" i="1" baseline="0"/>
                      <a:t>ПДФО; </a:t>
                    </a:r>
                  </a:p>
                  <a:p>
                    <a:r>
                      <a:rPr lang="uk-UA" sz="1000" b="1" i="1" baseline="0"/>
                      <a:t>55 034,6; </a:t>
                    </a:r>
                  </a:p>
                  <a:p>
                    <a:r>
                      <a:rPr lang="uk-UA" sz="1000" b="1" i="1" baseline="0"/>
                      <a:t>48,5%</a:t>
                    </a:r>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5807-4C37-9113-42E665AB8214}"/>
                </c:ext>
                <c:ext xmlns:c15="http://schemas.microsoft.com/office/drawing/2012/chart" uri="{CE6537A1-D6FC-4f65-9D91-7224C49458BB}">
                  <c15:layout/>
                </c:ext>
              </c:extLst>
            </c:dLbl>
            <c:dLbl>
              <c:idx val="1"/>
              <c:layout>
                <c:manualLayout>
                  <c:x val="0.10698882951101024"/>
                  <c:y val="-0.13602563294996703"/>
                </c:manualLayout>
              </c:layout>
              <c:tx>
                <c:rich>
                  <a:bodyPr/>
                  <a:lstStyle/>
                  <a:p>
                    <a:r>
                      <a:rPr lang="uk-UA"/>
                      <a:t>Внутрішні податки на податки та послуги (акциз); </a:t>
                    </a:r>
                  </a:p>
                  <a:p>
                    <a:r>
                      <a:rPr lang="uk-UA"/>
                      <a:t>11 828,2; </a:t>
                    </a:r>
                  </a:p>
                  <a:p>
                    <a:r>
                      <a:rPr lang="uk-UA"/>
                      <a:t>10,4%</a:t>
                    </a:r>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5807-4C37-9113-42E665AB8214}"/>
                </c:ext>
                <c:ext xmlns:c15="http://schemas.microsoft.com/office/drawing/2012/chart" uri="{CE6537A1-D6FC-4f65-9D91-7224C49458BB}">
                  <c15:layout/>
                </c:ext>
              </c:extLst>
            </c:dLbl>
            <c:dLbl>
              <c:idx val="2"/>
              <c:layout>
                <c:manualLayout>
                  <c:x val="0.20740152455428365"/>
                  <c:y val="-0.16552248698434252"/>
                </c:manualLayout>
              </c:layout>
              <c:tx>
                <c:rich>
                  <a:bodyPr/>
                  <a:lstStyle/>
                  <a:p>
                    <a:r>
                      <a:rPr lang="uk-UA"/>
                      <a:t>Податок на майно; </a:t>
                    </a:r>
                  </a:p>
                  <a:p>
                    <a:r>
                      <a:rPr lang="uk-UA"/>
                      <a:t>16 872,8; </a:t>
                    </a:r>
                  </a:p>
                  <a:p>
                    <a:r>
                      <a:rPr lang="uk-UA"/>
                      <a:t>14,9%</a:t>
                    </a:r>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5807-4C37-9113-42E665AB8214}"/>
                </c:ext>
                <c:ext xmlns:c15="http://schemas.microsoft.com/office/drawing/2012/chart" uri="{CE6537A1-D6FC-4f65-9D91-7224C49458BB}">
                  <c15:layout/>
                </c:ext>
              </c:extLst>
            </c:dLbl>
            <c:dLbl>
              <c:idx val="3"/>
              <c:layout>
                <c:manualLayout>
                  <c:x val="0.22192754633946596"/>
                  <c:y val="0.10808526172021878"/>
                </c:manualLayout>
              </c:layout>
              <c:tx>
                <c:rich>
                  <a:bodyPr/>
                  <a:lstStyle/>
                  <a:p>
                    <a:r>
                      <a:rPr lang="uk-UA"/>
                      <a:t>Єдиний податок; </a:t>
                    </a:r>
                  </a:p>
                  <a:p>
                    <a:r>
                      <a:rPr lang="uk-UA"/>
                      <a:t>27 376,1; </a:t>
                    </a:r>
                  </a:p>
                  <a:p>
                    <a:r>
                      <a:rPr lang="uk-UA"/>
                      <a:t>24,1%</a:t>
                    </a:r>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5807-4C37-9113-42E665AB8214}"/>
                </c:ext>
                <c:ext xmlns:c15="http://schemas.microsoft.com/office/drawing/2012/chart" uri="{CE6537A1-D6FC-4f65-9D91-7224C49458BB}">
                  <c15:layout/>
                </c:ext>
              </c:extLst>
            </c:dLbl>
            <c:dLbl>
              <c:idx val="4"/>
              <c:layout>
                <c:manualLayout>
                  <c:x val="-7.8366523153075837E-2"/>
                  <c:y val="-2.2998753308869607E-2"/>
                </c:manualLayout>
              </c:layout>
              <c:tx>
                <c:rich>
                  <a:bodyPr/>
                  <a:lstStyle/>
                  <a:p>
                    <a:r>
                      <a:rPr lang="uk-UA"/>
                      <a:t>Плата за адміністративні послуги; 1 529,5;</a:t>
                    </a:r>
                  </a:p>
                  <a:p>
                    <a:r>
                      <a:rPr lang="uk-UA"/>
                      <a:t> 1,3%</a:t>
                    </a:r>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5807-4C37-9113-42E665AB8214}"/>
                </c:ext>
                <c:ext xmlns:c15="http://schemas.microsoft.com/office/drawing/2012/chart" uri="{CE6537A1-D6FC-4f65-9D91-7224C49458BB}">
                  <c15:layout/>
                </c:ext>
              </c:extLst>
            </c:dLbl>
            <c:dLbl>
              <c:idx val="5"/>
              <c:layout>
                <c:manualLayout>
                  <c:x val="0.21575705903004164"/>
                  <c:y val="-2.3021608600294827E-2"/>
                </c:manualLayout>
              </c:layout>
              <c:tx>
                <c:rich>
                  <a:bodyPr/>
                  <a:lstStyle/>
                  <a:p>
                    <a:r>
                      <a:rPr lang="uk-UA"/>
                      <a:t>Інші доходи;</a:t>
                    </a:r>
                  </a:p>
                  <a:p>
                    <a:r>
                      <a:rPr lang="uk-UA"/>
                      <a:t> 891,5; </a:t>
                    </a:r>
                  </a:p>
                  <a:p>
                    <a:r>
                      <a:rPr lang="uk-UA"/>
                      <a:t>0,8%</a:t>
                    </a:r>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B-5807-4C37-9113-42E665AB8214}"/>
                </c:ext>
                <c:ext xmlns:c15="http://schemas.microsoft.com/office/drawing/2012/chart" uri="{CE6537A1-D6FC-4f65-9D91-7224C49458BB}">
                  <c15:layout/>
                </c:ext>
              </c:extLst>
            </c:dLbl>
            <c:dLbl>
              <c:idx val="6"/>
              <c:layout>
                <c:manualLayout>
                  <c:x val="-0.21536845654709827"/>
                  <c:y val="7.7369095986289382E-3"/>
                </c:manualLayout>
              </c:layou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C-5807-4C37-9113-42E665AB8214}"/>
                </c:ext>
                <c:ext xmlns:c15="http://schemas.microsoft.com/office/drawing/2012/chart" uri="{CE6537A1-D6FC-4f65-9D91-7224C49458BB}"/>
              </c:extLst>
            </c:dLbl>
            <c:numFmt formatCode="0.0%" sourceLinked="0"/>
            <c:spPr>
              <a:noFill/>
              <a:ln>
                <a:noFill/>
              </a:ln>
              <a:effectLst/>
            </c:spPr>
            <c:txPr>
              <a:bodyPr/>
              <a:lstStyle/>
              <a:p>
                <a:pPr>
                  <a:defRPr sz="900" b="1"/>
                </a:pPr>
                <a:endParaRPr lang="uk-UA"/>
              </a:p>
            </c:txPr>
            <c:showLegendKey val="0"/>
            <c:showVal val="1"/>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Лист1!$A$2:$A$7</c:f>
              <c:strCache>
                <c:ptCount val="6"/>
                <c:pt idx="0">
                  <c:v>Податок на доходи з фізичних осіб</c:v>
                </c:pt>
                <c:pt idx="1">
                  <c:v>Внутрішні податки на податки та послуги (акциз)</c:v>
                </c:pt>
                <c:pt idx="2">
                  <c:v>Податок на майно</c:v>
                </c:pt>
                <c:pt idx="3">
                  <c:v>Єдиний податок</c:v>
                </c:pt>
                <c:pt idx="4">
                  <c:v>Плата за адміністративні послуги</c:v>
                </c:pt>
                <c:pt idx="5">
                  <c:v>Інші доходи</c:v>
                </c:pt>
              </c:strCache>
            </c:strRef>
          </c:cat>
          <c:val>
            <c:numRef>
              <c:f>Лист1!$B$2:$B$7</c:f>
              <c:numCache>
                <c:formatCode>#,##0.0</c:formatCode>
                <c:ptCount val="6"/>
                <c:pt idx="0">
                  <c:v>55034.6</c:v>
                </c:pt>
                <c:pt idx="1">
                  <c:v>11828.2</c:v>
                </c:pt>
                <c:pt idx="2">
                  <c:v>16872.8</c:v>
                </c:pt>
                <c:pt idx="3">
                  <c:v>27376.1</c:v>
                </c:pt>
                <c:pt idx="4">
                  <c:v>1529.5</c:v>
                </c:pt>
                <c:pt idx="5">
                  <c:v>891.5</c:v>
                </c:pt>
              </c:numCache>
            </c:numRef>
          </c:val>
          <c:extLst xmlns:c16r2="http://schemas.microsoft.com/office/drawing/2015/06/chart">
            <c:ext xmlns:c16="http://schemas.microsoft.com/office/drawing/2014/chart" uri="{C3380CC4-5D6E-409C-BE32-E72D297353CC}">
              <c16:uniqueId val="{0000000D-5807-4C37-9113-42E665AB8214}"/>
            </c:ext>
          </c:extLst>
        </c:ser>
        <c:dLbls>
          <c:showLegendKey val="0"/>
          <c:showVal val="0"/>
          <c:showCatName val="0"/>
          <c:showSerName val="0"/>
          <c:showPercent val="0"/>
          <c:showBubbleSize val="0"/>
          <c:showLeaderLines val="1"/>
        </c:dLbls>
      </c:pie3DChart>
    </c:plotArea>
    <c:plotVisOnly val="1"/>
    <c:dispBlanksAs val="gap"/>
    <c:showDLblsOverMax val="0"/>
  </c:chart>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200" b="1">
                <a:latin typeface="Times New Roman" panose="02020603050405020304" pitchFamily="18" charset="0"/>
                <a:cs typeface="Times New Roman" panose="02020603050405020304" pitchFamily="18" charset="0"/>
              </a:rPr>
              <a:t>Структура видатків загального фонду по головних розпорядниках</a:t>
            </a:r>
            <a:r>
              <a:rPr lang="uk-UA" sz="1200" b="1" baseline="0">
                <a:latin typeface="Times New Roman" panose="02020603050405020304" pitchFamily="18" charset="0"/>
                <a:cs typeface="Times New Roman" panose="02020603050405020304" pitchFamily="18" charset="0"/>
              </a:rPr>
              <a:t> Бучанської міської територіальної громади за І квартал 2021 року (тис. грн.)</a:t>
            </a:r>
            <a:endParaRPr lang="uk-UA" sz="1200" b="1">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4.2708333333333327E-2"/>
          <c:y val="0.37524858013200746"/>
          <c:w val="0.81388888888888888"/>
          <c:h val="0.60298370111143518"/>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4A3A-4DA5-BE7A-1A163500E912}"/>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4A3A-4DA5-BE7A-1A163500E912}"/>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4A3A-4DA5-BE7A-1A163500E912}"/>
              </c:ext>
            </c:extLst>
          </c:dPt>
          <c:dLbls>
            <c:dLbl>
              <c:idx val="0"/>
              <c:layout>
                <c:manualLayout>
                  <c:x val="0.14994795697339705"/>
                  <c:y val="1.4609171083531457E-2"/>
                </c:manualLayout>
              </c:layout>
              <c:tx>
                <c:rich>
                  <a:bodyPr/>
                  <a:lstStyle/>
                  <a:p>
                    <a:fld id="{61F6A98B-AE48-41F5-9CCE-4457F7EFDD00}" type="CATEGORYNAME">
                      <a:rPr lang="uk-UA"/>
                      <a:pPr/>
                      <a:t>[ІМ’Я КАТЕГОРІЇ]</a:t>
                    </a:fld>
                    <a:r>
                      <a:rPr lang="uk-UA" baseline="0"/>
                      <a:t> </a:t>
                    </a:r>
                  </a:p>
                  <a:p>
                    <a:fld id="{DD4BC77D-CDAD-485D-9987-5F14BC3819A4}" type="VALUE">
                      <a:rPr lang="uk-UA" baseline="0"/>
                      <a:pPr/>
                      <a:t>[ЗНАЧЕННЯ]</a:t>
                    </a:fld>
                    <a:endParaRPr lang="uk-UA" baseline="0"/>
                  </a:p>
                  <a:p>
                    <a:r>
                      <a:rPr lang="uk-UA" baseline="0"/>
                      <a:t> </a:t>
                    </a:r>
                    <a:fld id="{C5606E5F-D6A6-4438-A68B-0847FE4BCD6A}" type="PERCENTAGE">
                      <a:rPr lang="uk-UA" baseline="0"/>
                      <a:pPr/>
                      <a:t>[ВІДСОТОК]</a:t>
                    </a:fld>
                    <a:endParaRPr lang="uk-UA" baseline="0"/>
                  </a:p>
                </c:rich>
              </c:tx>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4A3A-4DA5-BE7A-1A163500E912}"/>
                </c:ext>
                <c:ext xmlns:c15="http://schemas.microsoft.com/office/drawing/2012/chart" uri="{CE6537A1-D6FC-4f65-9D91-7224C49458BB}">
                  <c15:layout/>
                  <c15:dlblFieldTable/>
                  <c15:showDataLabelsRange val="0"/>
                </c:ext>
              </c:extLst>
            </c:dLbl>
            <c:dLbl>
              <c:idx val="1"/>
              <c:layout>
                <c:manualLayout>
                  <c:x val="0.10608424336973479"/>
                  <c:y val="-6.4343163538873996E-2"/>
                </c:manualLayout>
              </c:layout>
              <c:tx>
                <c:rich>
                  <a:bodyPr/>
                  <a:lstStyle/>
                  <a:p>
                    <a:fld id="{135D548D-CEA6-45BD-9FCD-D348BF49E744}" type="CATEGORYNAME">
                      <a:rPr lang="uk-UA"/>
                      <a:pPr/>
                      <a:t>[ІМ’Я КАТЕГОРІЇ]</a:t>
                    </a:fld>
                    <a:endParaRPr lang="uk-UA"/>
                  </a:p>
                  <a:p>
                    <a:r>
                      <a:rPr lang="uk-UA" baseline="0"/>
                      <a:t> </a:t>
                    </a:r>
                    <a:fld id="{CC5FCA19-E48A-40F4-8A2C-48E044C572CE}" type="VALUE">
                      <a:rPr lang="uk-UA" baseline="0"/>
                      <a:pPr/>
                      <a:t>[ЗНАЧЕННЯ]</a:t>
                    </a:fld>
                    <a:endParaRPr lang="uk-UA" baseline="0"/>
                  </a:p>
                  <a:p>
                    <a:r>
                      <a:rPr lang="uk-UA" baseline="0"/>
                      <a:t> </a:t>
                    </a:r>
                    <a:fld id="{CB48D7F2-E128-4970-BEAC-A80FA427E763}" type="PERCENTAGE">
                      <a:rPr lang="uk-UA" baseline="0"/>
                      <a:pPr/>
                      <a:t>[ВІДСОТОК]</a:t>
                    </a:fld>
                    <a:endParaRPr lang="uk-UA" baseline="0"/>
                  </a:p>
                </c:rich>
              </c:tx>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4A3A-4DA5-BE7A-1A163500E912}"/>
                </c:ext>
                <c:ext xmlns:c15="http://schemas.microsoft.com/office/drawing/2012/chart" uri="{CE6537A1-D6FC-4f65-9D91-7224C49458BB}">
                  <c15:layout/>
                  <c15:dlblFieldTable/>
                  <c15:showDataLabelsRange val="0"/>
                </c:ext>
              </c:extLst>
            </c:dLbl>
            <c:dLbl>
              <c:idx val="2"/>
              <c:layout>
                <c:manualLayout>
                  <c:x val="5.5555555555555558E-3"/>
                  <c:y val="-0.12256267409470756"/>
                </c:manualLayout>
              </c:layout>
              <c:tx>
                <c:rich>
                  <a:bodyPr/>
                  <a:lstStyle/>
                  <a:p>
                    <a:fld id="{9F057BEC-B5C0-42AA-92DB-D6B768D9D8FF}" type="CATEGORYNAME">
                      <a:rPr lang="uk-UA"/>
                      <a:pPr/>
                      <a:t>[ІМ’Я КАТЕГОРІЇ]</a:t>
                    </a:fld>
                    <a:endParaRPr lang="uk-UA" baseline="0"/>
                  </a:p>
                  <a:p>
                    <a:r>
                      <a:rPr lang="uk-UA" baseline="0"/>
                      <a:t> </a:t>
                    </a:r>
                    <a:fld id="{D88EC3C2-437C-43B0-BAF1-B81C202E319D}" type="VALUE">
                      <a:rPr lang="uk-UA" baseline="0"/>
                      <a:pPr/>
                      <a:t>[ЗНАЧЕННЯ]</a:t>
                    </a:fld>
                    <a:r>
                      <a:rPr lang="uk-UA" baseline="0"/>
                      <a:t> </a:t>
                    </a:r>
                  </a:p>
                  <a:p>
                    <a:fld id="{BC1964AC-5AF3-4D7E-A376-8D43C95E681A}" type="PERCENTAGE">
                      <a:rPr lang="uk-UA" baseline="0"/>
                      <a:pPr/>
                      <a:t>[ВІДСОТОК]</a:t>
                    </a:fld>
                    <a:endParaRPr lang="uk-UA"/>
                  </a:p>
                </c:rich>
              </c:tx>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4A3A-4DA5-BE7A-1A163500E912}"/>
                </c:ext>
                <c:ext xmlns:c15="http://schemas.microsoft.com/office/drawing/2012/chart" uri="{CE6537A1-D6FC-4f65-9D91-7224C49458BB}">
                  <c15:layout/>
                  <c15:dlblFieldTable/>
                  <c15:showDataLabelsRange val="0"/>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1050" b="1"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uk-UA"/>
              </a:p>
            </c:txPr>
            <c:dLblPos val="outEnd"/>
            <c:showLegendKey val="0"/>
            <c:showVal val="1"/>
            <c:showCatName val="1"/>
            <c:showSerName val="0"/>
            <c:showPercent val="1"/>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ext>
            </c:extLst>
          </c:dLbls>
          <c:cat>
            <c:strRef>
              <c:f>Аркуш3!$A$3:$A$5</c:f>
              <c:strCache>
                <c:ptCount val="3"/>
                <c:pt idx="0">
                  <c:v>Відділ молоді та спорту </c:v>
                </c:pt>
                <c:pt idx="1">
                  <c:v>Управління соціальної політики </c:v>
                </c:pt>
                <c:pt idx="2">
                  <c:v>Бучанська міська рада</c:v>
                </c:pt>
              </c:strCache>
            </c:strRef>
          </c:cat>
          <c:val>
            <c:numRef>
              <c:f>Аркуш3!$B$3:$B$5</c:f>
              <c:numCache>
                <c:formatCode>#\ ##0.0</c:formatCode>
                <c:ptCount val="3"/>
                <c:pt idx="0">
                  <c:v>130.4</c:v>
                </c:pt>
                <c:pt idx="1">
                  <c:v>2894.6</c:v>
                </c:pt>
                <c:pt idx="2">
                  <c:v>1344.9</c:v>
                </c:pt>
              </c:numCache>
            </c:numRef>
          </c:val>
          <c:extLst xmlns:c16r2="http://schemas.microsoft.com/office/drawing/2015/06/chart">
            <c:ext xmlns:c16="http://schemas.microsoft.com/office/drawing/2014/chart" uri="{C3380CC4-5D6E-409C-BE32-E72D297353CC}">
              <c16:uniqueId val="{00000006-4A3A-4DA5-BE7A-1A163500E912}"/>
            </c:ext>
          </c:extLst>
        </c:ser>
        <c:dLbls>
          <c:showLegendKey val="0"/>
          <c:showVal val="0"/>
          <c:showCatName val="0"/>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за </a:t>
            </a:r>
            <a:r>
              <a:rPr lang="en-US" sz="1050" b="1" baseline="0">
                <a:solidFill>
                  <a:sysClr val="windowText" lastClr="000000"/>
                </a:solidFill>
                <a:latin typeface="Times New Roman" panose="02020603050405020304" pitchFamily="18" charset="0"/>
                <a:cs typeface="Times New Roman" panose="02020603050405020304" pitchFamily="18" charset="0"/>
              </a:rPr>
              <a:t>I </a:t>
            </a:r>
            <a:r>
              <a:rPr lang="uk-UA" sz="1050" b="1" baseline="0">
                <a:solidFill>
                  <a:sysClr val="windowText" lastClr="000000"/>
                </a:solidFill>
                <a:latin typeface="Times New Roman" panose="02020603050405020304" pitchFamily="18" charset="0"/>
                <a:cs typeface="Times New Roman" panose="02020603050405020304" pitchFamily="18" charset="0"/>
              </a:rPr>
              <a:t>квартал 2021 року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50843672470204671"/>
          <c:y val="0.27194860813704497"/>
          <c:w val="0.48706438450439427"/>
          <c:h val="0.68308351177730198"/>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Аркуш1!$A$1:$A$6</c:f>
              <c:strCache>
                <c:ptCount val="6"/>
                <c:pt idx="0">
                  <c:v>Оплата послуг (крім комунальних) та відрядження</c:v>
                </c:pt>
                <c:pt idx="1">
                  <c:v>Інші виплати населенню</c:v>
                </c:pt>
                <c:pt idx="2">
                  <c:v>Предмети, обладнання та інвентар</c:v>
                </c:pt>
                <c:pt idx="3">
                  <c:v>Окремі заходи по реалізації державних(регіональних) програм, не віднесені до заходів розвитку</c:v>
                </c:pt>
                <c:pt idx="4">
                  <c:v>Оплата комунальних послуг та енергоносіїв</c:v>
                </c:pt>
                <c:pt idx="5">
                  <c:v>Заробітна плата  та нарахування на неї</c:v>
                </c:pt>
              </c:strCache>
            </c:strRef>
          </c:cat>
          <c:val>
            <c:numRef>
              <c:f>Аркуш1!$B$1:$B$6</c:f>
              <c:numCache>
                <c:formatCode>#\ ##0.0</c:formatCode>
                <c:ptCount val="6"/>
                <c:pt idx="0">
                  <c:v>12.2</c:v>
                </c:pt>
                <c:pt idx="1">
                  <c:v>54.7</c:v>
                </c:pt>
                <c:pt idx="2">
                  <c:v>83.7</c:v>
                </c:pt>
                <c:pt idx="3">
                  <c:v>335.7</c:v>
                </c:pt>
                <c:pt idx="4">
                  <c:v>681.4</c:v>
                </c:pt>
                <c:pt idx="5">
                  <c:v>1668.1</c:v>
                </c:pt>
              </c:numCache>
            </c:numRef>
          </c:val>
          <c:extLst xmlns:c16r2="http://schemas.microsoft.com/office/drawing/2015/06/chart">
            <c:ext xmlns:c16="http://schemas.microsoft.com/office/drawing/2014/chart" uri="{C3380CC4-5D6E-409C-BE32-E72D297353CC}">
              <c16:uniqueId val="{00000000-699F-48AA-A960-0ADB0C1F33C1}"/>
            </c:ext>
          </c:extLst>
        </c:ser>
        <c:dLbls>
          <c:showLegendKey val="0"/>
          <c:showVal val="0"/>
          <c:showCatName val="0"/>
          <c:showSerName val="0"/>
          <c:showPercent val="0"/>
          <c:showBubbleSize val="0"/>
        </c:dLbls>
        <c:gapWidth val="150"/>
        <c:axId val="301767992"/>
        <c:axId val="301765248"/>
      </c:barChart>
      <c:catAx>
        <c:axId val="30176799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01765248"/>
        <c:crosses val="autoZero"/>
        <c:auto val="1"/>
        <c:lblAlgn val="ctr"/>
        <c:lblOffset val="100"/>
        <c:noMultiLvlLbl val="0"/>
      </c:catAx>
      <c:valAx>
        <c:axId val="301765248"/>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0176799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0000"/>
                </a:solidFill>
                <a:latin typeface="Times New Roman"/>
                <a:ea typeface="Times New Roman"/>
                <a:cs typeface="Times New Roman"/>
              </a:defRPr>
            </a:pPr>
            <a:r>
              <a:rPr lang="uk-UA" sz="1100"/>
              <a:t>Структура видатків загального та спеціального фондів місцевого бюджету Бучанської міської територіальної громади за економічною класифікацією 
за </a:t>
            </a:r>
            <a:r>
              <a:rPr lang="en-US" sz="1100"/>
              <a:t>I </a:t>
            </a:r>
            <a:r>
              <a:rPr lang="uk-UA" sz="1100"/>
              <a:t>квартал 2021 року  (тис.грн.)
</a:t>
            </a:r>
          </a:p>
        </c:rich>
      </c:tx>
      <c:layout>
        <c:manualLayout>
          <c:xMode val="edge"/>
          <c:yMode val="edge"/>
          <c:x val="0.15802067181997853"/>
          <c:y val="4.8218029350104823E-2"/>
        </c:manualLayout>
      </c:layout>
      <c:overlay val="0"/>
      <c:spPr>
        <a:noFill/>
        <a:ln w="25400">
          <a:noFill/>
        </a:ln>
      </c:spPr>
    </c:title>
    <c:autoTitleDeleted val="0"/>
    <c:plotArea>
      <c:layout>
        <c:manualLayout>
          <c:layoutTarget val="inner"/>
          <c:xMode val="edge"/>
          <c:yMode val="edge"/>
          <c:x val="0.23663539692129643"/>
          <c:y val="0.17350252462836765"/>
          <c:w val="0.75595913734392739"/>
          <c:h val="0.78132205354193385"/>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Аркуш1!$A$1:$A$7</c:f>
              <c:strCache>
                <c:ptCount val="7"/>
                <c:pt idx="0">
                  <c:v>Медикаменти та перев"язувальні матеріали</c:v>
                </c:pt>
                <c:pt idx="1">
                  <c:v>Придбання обладнання і предметів довгострокового користування</c:v>
                </c:pt>
                <c:pt idx="2">
                  <c:v>Окремі заходи по реалізації державних(регіональних) програм, не віднесені до заходів розвитку</c:v>
                </c:pt>
                <c:pt idx="3">
                  <c:v>Предмети, обладнання та інвентар</c:v>
                </c:pt>
                <c:pt idx="4">
                  <c:v>Оплата комунальних послуг</c:v>
                </c:pt>
                <c:pt idx="5">
                  <c:v>Оплата послуг (крім комунальних) та відрядження</c:v>
                </c:pt>
                <c:pt idx="6">
                  <c:v>Заробітна плата  та нарахування на неї</c:v>
                </c:pt>
              </c:strCache>
            </c:strRef>
          </c:cat>
          <c:val>
            <c:numRef>
              <c:f>Аркуш1!$B$1:$B$7</c:f>
              <c:numCache>
                <c:formatCode>#\ ##0.0</c:formatCode>
                <c:ptCount val="7"/>
                <c:pt idx="0">
                  <c:v>2</c:v>
                </c:pt>
                <c:pt idx="1">
                  <c:v>15.5</c:v>
                </c:pt>
                <c:pt idx="2">
                  <c:v>27.6</c:v>
                </c:pt>
                <c:pt idx="3">
                  <c:v>44.8</c:v>
                </c:pt>
                <c:pt idx="4">
                  <c:v>56.8</c:v>
                </c:pt>
                <c:pt idx="5">
                  <c:v>59.5</c:v>
                </c:pt>
                <c:pt idx="6">
                  <c:v>770.4</c:v>
                </c:pt>
              </c:numCache>
            </c:numRef>
          </c:val>
          <c:extLst xmlns:c16r2="http://schemas.microsoft.com/office/drawing/2015/06/chart">
            <c:ext xmlns:c16="http://schemas.microsoft.com/office/drawing/2014/chart" uri="{C3380CC4-5D6E-409C-BE32-E72D297353CC}">
              <c16:uniqueId val="{00000000-8D10-4C1B-83B4-1E01D186F7A9}"/>
            </c:ext>
          </c:extLst>
        </c:ser>
        <c:dLbls>
          <c:showLegendKey val="0"/>
          <c:showVal val="0"/>
          <c:showCatName val="0"/>
          <c:showSerName val="0"/>
          <c:showPercent val="0"/>
          <c:showBubbleSize val="0"/>
        </c:dLbls>
        <c:gapWidth val="150"/>
        <c:axId val="301766424"/>
        <c:axId val="301771520"/>
      </c:barChart>
      <c:catAx>
        <c:axId val="301766424"/>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01771520"/>
        <c:crosses val="autoZero"/>
        <c:auto val="1"/>
        <c:lblAlgn val="ctr"/>
        <c:lblOffset val="100"/>
        <c:noMultiLvlLbl val="0"/>
      </c:catAx>
      <c:valAx>
        <c:axId val="30177152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01766424"/>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50"/>
            </a:pPr>
            <a:r>
              <a:rPr lang="uk-UA" sz="1050">
                <a:latin typeface="Times New Roman" panose="02020603050405020304" pitchFamily="18" charset="0"/>
                <a:cs typeface="Times New Roman" panose="02020603050405020304" pitchFamily="18" charset="0"/>
              </a:rPr>
              <a:t>СТРУКТУРА ДОХОДІВ СПЕЦІАЛЬНОГО ФОНДУ МІСЦЕВОГО БЮДЖЕТУ БУЧАНСЬКОЇ МІСЬКОЇ ТЕРИТОРІАЛЬНОЇ</a:t>
            </a:r>
            <a:r>
              <a:rPr lang="uk-UA" sz="1050" baseline="0">
                <a:latin typeface="Times New Roman" panose="02020603050405020304" pitchFamily="18" charset="0"/>
                <a:cs typeface="Times New Roman" panose="02020603050405020304" pitchFamily="18" charset="0"/>
              </a:rPr>
              <a:t> ГРОМАДИ</a:t>
            </a:r>
          </a:p>
          <a:p>
            <a:pPr>
              <a:defRPr sz="1050"/>
            </a:pPr>
            <a:r>
              <a:rPr lang="uk-UA" sz="1050">
                <a:latin typeface="Times New Roman" panose="02020603050405020304" pitchFamily="18" charset="0"/>
                <a:cs typeface="Times New Roman" panose="02020603050405020304" pitchFamily="18" charset="0"/>
              </a:rPr>
              <a:t> У 1 КВАРТАЛІ 2021 РОКУ</a:t>
            </a:r>
          </a:p>
        </c:rich>
      </c:tx>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6.2565803562979671E-3"/>
          <c:y val="0.14962836651787953"/>
          <c:w val="0.66444321594525546"/>
          <c:h val="0.82651821388568469"/>
        </c:manualLayout>
      </c:layout>
      <c:pie3DChart>
        <c:varyColors val="1"/>
        <c:ser>
          <c:idx val="0"/>
          <c:order val="0"/>
          <c:explosion val="8"/>
          <c:dPt>
            <c:idx val="0"/>
            <c:bubble3D val="0"/>
            <c:spPr>
              <a:blipFill>
                <a:blip xmlns:r="http://schemas.openxmlformats.org/officeDocument/2006/relationships" r:embed="rId1"/>
                <a:tile tx="0" ty="0" sx="100000" sy="100000" flip="none" algn="tl"/>
              </a:blipFill>
            </c:spPr>
            <c:extLst xmlns:c16r2="http://schemas.microsoft.com/office/drawing/2015/06/chart">
              <c:ext xmlns:c16="http://schemas.microsoft.com/office/drawing/2014/chart" uri="{C3380CC4-5D6E-409C-BE32-E72D297353CC}">
                <c16:uniqueId val="{00000001-0DD3-4973-8AE5-1864182365F7}"/>
              </c:ext>
            </c:extLst>
          </c:dPt>
          <c:dPt>
            <c:idx val="1"/>
            <c:bubble3D val="0"/>
            <c:spPr>
              <a:blipFill>
                <a:blip xmlns:r="http://schemas.openxmlformats.org/officeDocument/2006/relationships" r:embed="rId2"/>
                <a:tile tx="0" ty="0" sx="100000" sy="100000" flip="none" algn="tl"/>
              </a:blipFill>
            </c:spPr>
            <c:extLst xmlns:c16r2="http://schemas.microsoft.com/office/drawing/2015/06/chart">
              <c:ext xmlns:c16="http://schemas.microsoft.com/office/drawing/2014/chart" uri="{C3380CC4-5D6E-409C-BE32-E72D297353CC}">
                <c16:uniqueId val="{00000003-0DD3-4973-8AE5-1864182365F7}"/>
              </c:ext>
            </c:extLst>
          </c:dPt>
          <c:dPt>
            <c:idx val="2"/>
            <c:bubble3D val="0"/>
            <c:spPr>
              <a:blipFill>
                <a:blip xmlns:r="http://schemas.openxmlformats.org/officeDocument/2006/relationships" r:embed="rId3"/>
                <a:tile tx="0" ty="0" sx="100000" sy="100000" flip="none" algn="tl"/>
              </a:blipFill>
            </c:spPr>
            <c:extLst xmlns:c16r2="http://schemas.microsoft.com/office/drawing/2015/06/chart">
              <c:ext xmlns:c16="http://schemas.microsoft.com/office/drawing/2014/chart" uri="{C3380CC4-5D6E-409C-BE32-E72D297353CC}">
                <c16:uniqueId val="{00000005-0DD3-4973-8AE5-1864182365F7}"/>
              </c:ext>
            </c:extLst>
          </c:dPt>
          <c:dLbls>
            <c:dLbl>
              <c:idx val="0"/>
              <c:layout/>
              <c:tx>
                <c:rich>
                  <a:bodyPr/>
                  <a:lstStyle/>
                  <a:p>
                    <a:r>
                      <a:rPr lang="en-US"/>
                      <a:t>5609,3; </a:t>
                    </a:r>
                  </a:p>
                  <a:p>
                    <a:r>
                      <a:rPr lang="en-US"/>
                      <a:t>49,4%</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0DD3-4973-8AE5-1864182365F7}"/>
                </c:ext>
                <c:ext xmlns:c15="http://schemas.microsoft.com/office/drawing/2012/chart" uri="{CE6537A1-D6FC-4f65-9D91-7224C49458BB}">
                  <c15:layout/>
                </c:ext>
              </c:extLst>
            </c:dLbl>
            <c:dLbl>
              <c:idx val="1"/>
              <c:layout/>
              <c:tx>
                <c:rich>
                  <a:bodyPr/>
                  <a:lstStyle/>
                  <a:p>
                    <a:r>
                      <a:rPr lang="en-US"/>
                      <a:t>2800,2;</a:t>
                    </a:r>
                  </a:p>
                  <a:p>
                    <a:r>
                      <a:rPr lang="en-US"/>
                      <a:t> 24,7%</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0DD3-4973-8AE5-1864182365F7}"/>
                </c:ext>
                <c:ext xmlns:c15="http://schemas.microsoft.com/office/drawing/2012/chart" uri="{CE6537A1-D6FC-4f65-9D91-7224C49458BB}">
                  <c15:layout/>
                </c:ext>
              </c:extLst>
            </c:dLbl>
            <c:dLbl>
              <c:idx val="2"/>
              <c:layout/>
              <c:tx>
                <c:rich>
                  <a:bodyPr/>
                  <a:lstStyle/>
                  <a:p>
                    <a:r>
                      <a:rPr lang="en-US"/>
                      <a:t>2769,3; </a:t>
                    </a:r>
                  </a:p>
                  <a:p>
                    <a:r>
                      <a:rPr lang="en-US"/>
                      <a:t>24,4%</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0DD3-4973-8AE5-1864182365F7}"/>
                </c:ext>
                <c:ext xmlns:c15="http://schemas.microsoft.com/office/drawing/2012/chart" uri="{CE6537A1-D6FC-4f65-9D91-7224C49458BB}">
                  <c15:layout/>
                </c:ext>
              </c:extLst>
            </c:dLbl>
            <c:dLbl>
              <c:idx val="3"/>
              <c:layout/>
              <c:tx>
                <c:rich>
                  <a:bodyPr/>
                  <a:lstStyle/>
                  <a:p>
                    <a:r>
                      <a:rPr lang="en-US"/>
                      <a:t>136,4; 1,2%</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6-0DD3-4973-8AE5-1864182365F7}"/>
                </c:ext>
                <c:ext xmlns:c15="http://schemas.microsoft.com/office/drawing/2012/chart" uri="{CE6537A1-D6FC-4f65-9D91-7224C49458BB}">
                  <c15:layout/>
                </c:ext>
              </c:extLst>
            </c:dLbl>
            <c:dLbl>
              <c:idx val="4"/>
              <c:layout/>
              <c:tx>
                <c:rich>
                  <a:bodyPr/>
                  <a:lstStyle/>
                  <a:p>
                    <a:r>
                      <a:rPr lang="en-US"/>
                      <a:t>32,3;</a:t>
                    </a:r>
                    <a:r>
                      <a:rPr lang="en-US" baseline="0"/>
                      <a:t> 0,3</a:t>
                    </a:r>
                    <a:r>
                      <a:rPr lang="en-US"/>
                      <a:t>%</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7-0DD3-4973-8AE5-1864182365F7}"/>
                </c:ext>
                <c:ext xmlns:c15="http://schemas.microsoft.com/office/drawing/2012/chart" uri="{CE6537A1-D6FC-4f65-9D91-7224C49458BB}">
                  <c15:layout/>
                </c:ext>
              </c:extLst>
            </c:dLbl>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лист1!$A$1:$A$5</c:f>
              <c:strCache>
                <c:ptCount val="5"/>
                <c:pt idx="0">
                  <c:v>Бюджет розвитку</c:v>
                </c:pt>
                <c:pt idx="1">
                  <c:v>Цільовий фонд</c:v>
                </c:pt>
                <c:pt idx="2">
                  <c:v>Власні надходження бюджетних установ</c:v>
                </c:pt>
                <c:pt idx="3">
                  <c:v>Відкодування втрат с/г, л/г виробництва</c:v>
                </c:pt>
                <c:pt idx="4">
                  <c:v>Екологічний податок</c:v>
                </c:pt>
              </c:strCache>
            </c:strRef>
          </c:cat>
          <c:val>
            <c:numRef>
              <c:f>лист1!$B$1:$B$5</c:f>
              <c:numCache>
                <c:formatCode>General</c:formatCode>
                <c:ptCount val="5"/>
                <c:pt idx="0">
                  <c:v>5609.3</c:v>
                </c:pt>
                <c:pt idx="1">
                  <c:v>2800.2</c:v>
                </c:pt>
                <c:pt idx="2">
                  <c:v>2769.3</c:v>
                </c:pt>
                <c:pt idx="3">
                  <c:v>136.4</c:v>
                </c:pt>
                <c:pt idx="4">
                  <c:v>32.299999999999997</c:v>
                </c:pt>
              </c:numCache>
            </c:numRef>
          </c:val>
          <c:extLst xmlns:c16r2="http://schemas.microsoft.com/office/drawing/2015/06/chart">
            <c:ext xmlns:c16="http://schemas.microsoft.com/office/drawing/2014/chart" uri="{C3380CC4-5D6E-409C-BE32-E72D297353CC}">
              <c16:uniqueId val="{00000008-0DD3-4973-8AE5-1864182365F7}"/>
            </c:ext>
          </c:extLst>
        </c:ser>
        <c:ser>
          <c:idx val="1"/>
          <c:order val="1"/>
          <c:dLbls>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лист1!$A$1:$A$5</c:f>
              <c:strCache>
                <c:ptCount val="5"/>
                <c:pt idx="0">
                  <c:v>Бюджет розвитку</c:v>
                </c:pt>
                <c:pt idx="1">
                  <c:v>Цільовий фонд</c:v>
                </c:pt>
                <c:pt idx="2">
                  <c:v>Власні надходження бюджетних установ</c:v>
                </c:pt>
                <c:pt idx="3">
                  <c:v>Відкодування втрат с/г, л/г виробництва</c:v>
                </c:pt>
                <c:pt idx="4">
                  <c:v>Екологічний податок</c:v>
                </c:pt>
              </c:strCache>
            </c:strRef>
          </c:cat>
          <c:val>
            <c:numRef>
              <c:f>лист1!$C$1:$C$5</c:f>
              <c:numCache>
                <c:formatCode>General</c:formatCode>
                <c:ptCount val="5"/>
                <c:pt idx="0">
                  <c:v>49.4</c:v>
                </c:pt>
                <c:pt idx="1">
                  <c:v>24.7</c:v>
                </c:pt>
                <c:pt idx="2">
                  <c:v>24.4</c:v>
                </c:pt>
                <c:pt idx="3">
                  <c:v>1.2</c:v>
                </c:pt>
                <c:pt idx="4">
                  <c:v>0.3</c:v>
                </c:pt>
              </c:numCache>
            </c:numRef>
          </c:val>
          <c:extLst xmlns:c16r2="http://schemas.microsoft.com/office/drawing/2015/06/chart">
            <c:ext xmlns:c16="http://schemas.microsoft.com/office/drawing/2014/chart" uri="{C3380CC4-5D6E-409C-BE32-E72D297353CC}">
              <c16:uniqueId val="{00000009-0DD3-4973-8AE5-1864182365F7}"/>
            </c:ext>
          </c:extLst>
        </c:ser>
        <c:dLbls>
          <c:showLegendKey val="0"/>
          <c:showVal val="0"/>
          <c:showCatName val="0"/>
          <c:showSerName val="0"/>
          <c:showPercent val="1"/>
          <c:showBubbleSize val="0"/>
          <c:showLeaderLines val="1"/>
        </c:dLbls>
      </c:pie3DChart>
    </c:plotArea>
    <c:legend>
      <c:legendPos val="r"/>
      <c:layout>
        <c:manualLayout>
          <c:xMode val="edge"/>
          <c:yMode val="edge"/>
          <c:x val="0.68960659803672553"/>
          <c:y val="0.26134443385659595"/>
          <c:w val="0.29521313630862556"/>
          <c:h val="0.62007121721249814"/>
        </c:manualLayout>
      </c:layout>
      <c:overlay val="0"/>
    </c:legend>
    <c:plotVisOnly val="1"/>
    <c:dispBlanksAs val="gap"/>
    <c:showDLblsOverMax val="0"/>
  </c:chart>
  <c:txPr>
    <a:bodyPr/>
    <a:lstStyle/>
    <a:p>
      <a:pPr>
        <a:defRPr baseline="0">
          <a:latin typeface="+mj-lt"/>
        </a:defRPr>
      </a:pPr>
      <a:endParaRPr lang="uk-UA"/>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Обсяг видаткової частини бюджету Бучанської міської територіальної громади за видатками</a:t>
            </a:r>
          </a:p>
          <a:p>
            <a:pPr>
              <a:defRPr sz="1600">
                <a:latin typeface="Times New Roman" panose="02020603050405020304" pitchFamily="18" charset="0"/>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 І кварталу 2021 року (тис.грн) </a:t>
            </a:r>
            <a:endParaRPr lang="uk-UA" sz="1600">
              <a:effectLst/>
              <a:latin typeface="Times New Roman" panose="02020603050405020304" pitchFamily="18" charset="0"/>
              <a:cs typeface="Times New Roman" panose="02020603050405020304" pitchFamily="18" charset="0"/>
            </a:endParaRPr>
          </a:p>
        </c:rich>
      </c:tx>
      <c:layout>
        <c:manualLayout>
          <c:xMode val="edge"/>
          <c:yMode val="edge"/>
          <c:x val="0.10886269644652248"/>
          <c:y val="1.0100371252368678E-2"/>
        </c:manualLayout>
      </c:layout>
      <c:overlay val="0"/>
      <c:spPr>
        <a:noFill/>
        <a:ln>
          <a:noFill/>
        </a:ln>
        <a:effectLst/>
      </c:spPr>
      <c:txPr>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1.6103940025341726E-2"/>
          <c:y val="0.2531501045737149"/>
          <c:w val="0.97168598316319255"/>
          <c:h val="0.74021158302555445"/>
        </c:manualLayout>
      </c:layout>
      <c:pie3DChart>
        <c:varyColors val="1"/>
        <c:ser>
          <c:idx val="0"/>
          <c:order val="0"/>
          <c:dPt>
            <c:idx val="0"/>
            <c:bubble3D val="0"/>
            <c:explosion val="33"/>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904A-4D5C-AF54-1BA8AC25BC0A}"/>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904A-4D5C-AF54-1BA8AC25BC0A}"/>
              </c:ext>
            </c:extLst>
          </c:dPt>
          <c:dLbls>
            <c:dLbl>
              <c:idx val="0"/>
              <c:layout>
                <c:manualLayout>
                  <c:x val="-0.19315035513187909"/>
                  <c:y val="-0.26399064967531138"/>
                </c:manualLayout>
              </c:layout>
              <c:tx>
                <c:rich>
                  <a:bodyPr/>
                  <a:lstStyle/>
                  <a:p>
                    <a:fld id="{ECD6F30D-2331-43F9-B06A-3484F0141605}" type="CATEGORYNAME">
                      <a:rPr lang="uk-UA"/>
                      <a:pPr/>
                      <a:t>[ІМ’Я КАТЕГОРІЇ]</a:t>
                    </a:fld>
                    <a:r>
                      <a:rPr lang="uk-UA" baseline="0"/>
                      <a:t> </a:t>
                    </a:r>
                  </a:p>
                  <a:p>
                    <a:fld id="{64DF24F7-5A0E-42F0-8DFD-1DB86792BB09}" type="VALUE">
                      <a:rPr lang="uk-UA" baseline="0"/>
                      <a:pPr/>
                      <a:t>[ЗНАЧЕННЯ]</a:t>
                    </a:fld>
                    <a:endParaRPr lang="uk-UA"/>
                  </a:p>
                </c:rich>
              </c:tx>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1-904A-4D5C-AF54-1BA8AC25BC0A}"/>
                </c:ext>
                <c:ext xmlns:c15="http://schemas.microsoft.com/office/drawing/2012/chart" uri="{CE6537A1-D6FC-4f65-9D91-7224C49458BB}">
                  <c15:layout>
                    <c:manualLayout>
                      <c:w val="0.35575887988584398"/>
                      <c:h val="0.13730550671457331"/>
                    </c:manualLayout>
                  </c15:layout>
                  <c15:dlblFieldTable/>
                  <c15:showDataLabelsRange val="0"/>
                </c:ext>
              </c:extLst>
            </c:dLbl>
            <c:dLbl>
              <c:idx val="1"/>
              <c:layout>
                <c:manualLayout>
                  <c:x val="-0.12994423876528005"/>
                  <c:y val="6.8345199365049186E-3"/>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A966A235-C60B-4E2A-BAE3-FB8E9C2D8966}" type="CATEGORYNAME">
                      <a:rPr lang="uk-UA" sz="1200"/>
                      <a:pPr>
                        <a:defRPr sz="1200" b="1">
                          <a:latin typeface="Times New Roman" panose="02020603050405020304" pitchFamily="18" charset="0"/>
                          <a:cs typeface="Times New Roman" panose="02020603050405020304" pitchFamily="18" charset="0"/>
                        </a:defRPr>
                      </a:pPr>
                      <a:t>[ІМ’Я КАТЕГОРІЇ]</a:t>
                    </a:fld>
                    <a:r>
                      <a:rPr lang="uk-UA" sz="1200" baseline="0"/>
                      <a:t> </a:t>
                    </a:r>
                  </a:p>
                  <a:p>
                    <a:pPr>
                      <a:defRPr sz="1200" b="1">
                        <a:latin typeface="Times New Roman" panose="02020603050405020304" pitchFamily="18" charset="0"/>
                        <a:cs typeface="Times New Roman" panose="02020603050405020304" pitchFamily="18" charset="0"/>
                      </a:defRPr>
                    </a:pPr>
                    <a:fld id="{6216258C-88B1-4FC5-96BA-BB47CAC74799}" type="VALUE">
                      <a:rPr lang="uk-UA" sz="1200" baseline="0"/>
                      <a:pPr>
                        <a:defRPr sz="1200" b="1">
                          <a:latin typeface="Times New Roman" panose="02020603050405020304" pitchFamily="18" charset="0"/>
                          <a:cs typeface="Times New Roman" panose="02020603050405020304" pitchFamily="18" charset="0"/>
                        </a:defRPr>
                      </a:pPr>
                      <a:t>[ЗНАЧЕННЯ]</a:t>
                    </a:fld>
                    <a:endParaRPr lang="uk-UA"/>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3-904A-4D5C-AF54-1BA8AC25BC0A}"/>
                </c:ext>
                <c:ext xmlns:c15="http://schemas.microsoft.com/office/drawing/2012/chart" uri="{CE6537A1-D6FC-4f65-9D91-7224C49458BB}">
                  <c15:layout>
                    <c:manualLayout>
                      <c:w val="0.32943748988015586"/>
                      <c:h val="0.11750205981533862"/>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ct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Аркуш1!$A$3:$B$3</c:f>
              <c:strCache>
                <c:ptCount val="2"/>
                <c:pt idx="0">
                  <c:v>Загальний фонд</c:v>
                </c:pt>
                <c:pt idx="1">
                  <c:v>Спеціальний фонд</c:v>
                </c:pt>
              </c:strCache>
            </c:strRef>
          </c:cat>
          <c:val>
            <c:numRef>
              <c:f>Аркуш1!$A$4:$B$4</c:f>
              <c:numCache>
                <c:formatCode>#\ ##0.0</c:formatCode>
                <c:ptCount val="2"/>
                <c:pt idx="0">
                  <c:v>112644.5</c:v>
                </c:pt>
                <c:pt idx="1">
                  <c:v>5106.3999999999996</c:v>
                </c:pt>
              </c:numCache>
            </c:numRef>
          </c:val>
          <c:extLst xmlns:c16r2="http://schemas.microsoft.com/office/drawing/2015/06/chart">
            <c:ext xmlns:c16="http://schemas.microsoft.com/office/drawing/2014/chart" uri="{C3380CC4-5D6E-409C-BE32-E72D297353CC}">
              <c16:uniqueId val="{00000004-904A-4D5C-AF54-1BA8AC25BC0A}"/>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за </a:t>
            </a:r>
            <a:r>
              <a:rPr lang="en-US" sz="1050" b="1" baseline="0">
                <a:solidFill>
                  <a:sysClr val="windowText" lastClr="000000"/>
                </a:solidFill>
                <a:latin typeface="Times New Roman" panose="02020603050405020304" pitchFamily="18" charset="0"/>
                <a:cs typeface="Times New Roman" panose="02020603050405020304" pitchFamily="18" charset="0"/>
              </a:rPr>
              <a:t>I </a:t>
            </a:r>
            <a:r>
              <a:rPr lang="uk-UA" sz="1050" b="1" baseline="0">
                <a:solidFill>
                  <a:sysClr val="windowText" lastClr="000000"/>
                </a:solidFill>
                <a:latin typeface="Times New Roman" panose="02020603050405020304" pitchFamily="18" charset="0"/>
                <a:cs typeface="Times New Roman" panose="02020603050405020304" pitchFamily="18" charset="0"/>
              </a:rPr>
              <a:t>квартал 2021 року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46878547105561863"/>
          <c:y val="0.1709960324422358"/>
          <c:w val="0.52553916004540291"/>
          <c:h val="0.79653848023725027"/>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Аркуш1!$A$1:$A$11</c:f>
              <c:strCache>
                <c:ptCount val="11"/>
                <c:pt idx="0">
                  <c:v>Придбання обладнання і предметів довгострокового користування</c:v>
                </c:pt>
                <c:pt idx="1">
                  <c:v>Предмети, обладнання та інвентар</c:v>
                </c:pt>
                <c:pt idx="2">
                  <c:v>Оплата послуг (крім комунальних) та відрядження</c:v>
                </c:pt>
                <c:pt idx="3">
                  <c:v>Капітальні трансферти підприємствам (установам, організаціям)</c:v>
                </c:pt>
                <c:pt idx="4">
                  <c:v>Окремі заходи по реалізації державних(регіональних) програм, не віднесені до заходів розвитку</c:v>
                </c:pt>
                <c:pt idx="5">
                  <c:v>Інші виплати населенню</c:v>
                </c:pt>
                <c:pt idx="6">
                  <c:v>Продукти харчування та медикаменти</c:v>
                </c:pt>
                <c:pt idx="7">
                  <c:v>Інші поточні видатки </c:v>
                </c:pt>
                <c:pt idx="8">
                  <c:v>Субсидії та поточні трансферти підприємствам ( установам, організаціям)</c:v>
                </c:pt>
                <c:pt idx="9">
                  <c:v>Оплата комунальних послуг та енергоносіїв</c:v>
                </c:pt>
                <c:pt idx="10">
                  <c:v>Заробітна плата  та нарахування на неї</c:v>
                </c:pt>
              </c:strCache>
            </c:strRef>
          </c:cat>
          <c:val>
            <c:numRef>
              <c:f>Аркуш1!$B$1:$B$11</c:f>
              <c:numCache>
                <c:formatCode>#\ ##0.0</c:formatCode>
                <c:ptCount val="11"/>
                <c:pt idx="0">
                  <c:v>129.1</c:v>
                </c:pt>
                <c:pt idx="1">
                  <c:v>1254.9000000000001</c:v>
                </c:pt>
                <c:pt idx="2">
                  <c:v>1453.3</c:v>
                </c:pt>
                <c:pt idx="3">
                  <c:v>1650</c:v>
                </c:pt>
                <c:pt idx="4">
                  <c:v>1865.1000000000001</c:v>
                </c:pt>
                <c:pt idx="5">
                  <c:v>2670.8</c:v>
                </c:pt>
                <c:pt idx="6">
                  <c:v>2941.3</c:v>
                </c:pt>
                <c:pt idx="7">
                  <c:v>5186.6000000000004</c:v>
                </c:pt>
                <c:pt idx="8">
                  <c:v>8646.2999999999993</c:v>
                </c:pt>
                <c:pt idx="9">
                  <c:v>11507.1</c:v>
                </c:pt>
                <c:pt idx="10">
                  <c:v>80446.399999999994</c:v>
                </c:pt>
              </c:numCache>
            </c:numRef>
          </c:val>
          <c:extLst xmlns:c16r2="http://schemas.microsoft.com/office/drawing/2015/06/chart">
            <c:ext xmlns:c16="http://schemas.microsoft.com/office/drawing/2014/chart" uri="{C3380CC4-5D6E-409C-BE32-E72D297353CC}">
              <c16:uniqueId val="{00000000-A79B-4547-97EF-400103D62ED5}"/>
            </c:ext>
          </c:extLst>
        </c:ser>
        <c:dLbls>
          <c:showLegendKey val="0"/>
          <c:showVal val="0"/>
          <c:showCatName val="0"/>
          <c:showSerName val="0"/>
          <c:showPercent val="0"/>
          <c:showBubbleSize val="0"/>
        </c:dLbls>
        <c:gapWidth val="150"/>
        <c:axId val="301672184"/>
        <c:axId val="301058160"/>
      </c:barChart>
      <c:catAx>
        <c:axId val="301672184"/>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01058160"/>
        <c:crosses val="autoZero"/>
        <c:auto val="1"/>
        <c:lblAlgn val="ctr"/>
        <c:lblOffset val="100"/>
        <c:noMultiLvlLbl val="0"/>
      </c:catAx>
      <c:valAx>
        <c:axId val="30105816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01672184"/>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b="1">
                <a:latin typeface="Times New Roman" panose="02020603050405020304" pitchFamily="18" charset="0"/>
                <a:cs typeface="Times New Roman" panose="02020603050405020304" pitchFamily="18" charset="0"/>
              </a:rPr>
              <a:t>Фінансування за галузевим принципом із загального та спеціального фондів </a:t>
            </a:r>
          </a:p>
          <a:p>
            <a:pPr>
              <a:defRPr b="1">
                <a:latin typeface="Times New Roman" panose="02020603050405020304" pitchFamily="18" charset="0"/>
                <a:cs typeface="Times New Roman" panose="02020603050405020304" pitchFamily="18" charset="0"/>
              </a:defRPr>
            </a:pPr>
            <a:r>
              <a:rPr lang="uk-UA" b="1">
                <a:latin typeface="Times New Roman" panose="02020603050405020304" pitchFamily="18" charset="0"/>
                <a:cs typeface="Times New Roman" panose="02020603050405020304" pitchFamily="18" charset="0"/>
              </a:rPr>
              <a:t>за</a:t>
            </a:r>
            <a:r>
              <a:rPr lang="uk-UA" b="1" baseline="0">
                <a:latin typeface="Times New Roman" panose="02020603050405020304" pitchFamily="18" charset="0"/>
                <a:cs typeface="Times New Roman" panose="02020603050405020304" pitchFamily="18" charset="0"/>
              </a:rPr>
              <a:t> </a:t>
            </a:r>
            <a:r>
              <a:rPr lang="en-US" b="1" baseline="0">
                <a:latin typeface="Times New Roman" panose="02020603050405020304" pitchFamily="18" charset="0"/>
                <a:cs typeface="Times New Roman" panose="02020603050405020304" pitchFamily="18" charset="0"/>
              </a:rPr>
              <a:t>I </a:t>
            </a:r>
            <a:r>
              <a:rPr lang="ru-RU" b="1" baseline="0">
                <a:latin typeface="Times New Roman" panose="02020603050405020304" pitchFamily="18" charset="0"/>
                <a:cs typeface="Times New Roman" panose="02020603050405020304" pitchFamily="18" charset="0"/>
              </a:rPr>
              <a:t>квартал 2021 року ( тис.грн)</a:t>
            </a:r>
          </a:p>
          <a:p>
            <a:pPr>
              <a:defRPr b="1">
                <a:latin typeface="Times New Roman" panose="02020603050405020304" pitchFamily="18" charset="0"/>
                <a:cs typeface="Times New Roman" panose="02020603050405020304" pitchFamily="18" charset="0"/>
              </a:defRPr>
            </a:pPr>
            <a:endParaRPr lang="uk-UA" b="1">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23984805696756259"/>
          <c:y val="0.26565959313736814"/>
          <c:w val="0.52258967629046371"/>
          <c:h val="0.72641497525419296"/>
        </c:manualLayout>
      </c:layout>
      <c:doughnut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D9F2-441D-9DBB-4CFBE4B4A588}"/>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D9F2-441D-9DBB-4CFBE4B4A588}"/>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D9F2-441D-9DBB-4CFBE4B4A588}"/>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D9F2-441D-9DBB-4CFBE4B4A588}"/>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D9F2-441D-9DBB-4CFBE4B4A588}"/>
              </c:ext>
            </c:extLst>
          </c:dPt>
          <c:dPt>
            <c:idx val="5"/>
            <c:bubble3D val="0"/>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B-D9F2-441D-9DBB-4CFBE4B4A588}"/>
              </c:ext>
            </c:extLst>
          </c:dPt>
          <c:dPt>
            <c:idx val="6"/>
            <c:bubble3D val="0"/>
            <c:spPr>
              <a:solidFill>
                <a:schemeClr val="accent1">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D-D9F2-441D-9DBB-4CFBE4B4A588}"/>
              </c:ext>
            </c:extLst>
          </c:dPt>
          <c:dPt>
            <c:idx val="7"/>
            <c:bubble3D val="0"/>
            <c:spPr>
              <a:solidFill>
                <a:schemeClr val="accent2">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F-D9F2-441D-9DBB-4CFBE4B4A588}"/>
              </c:ext>
            </c:extLst>
          </c:dPt>
          <c:dLbls>
            <c:dLbl>
              <c:idx val="0"/>
              <c:layout>
                <c:manualLayout>
                  <c:x val="0.20408101393742895"/>
                  <c:y val="-1.0372699522797372E-2"/>
                </c:manualLayout>
              </c:layout>
              <c:tx>
                <c:rich>
                  <a:bodyPr/>
                  <a:lstStyle/>
                  <a:p>
                    <a:fld id="{C895071A-B2C1-42F4-AD78-4E482C619E11}" type="CATEGORYNAME">
                      <a:rPr lang="uk-UA"/>
                      <a:pPr/>
                      <a:t>[ІМ’Я КАТЕГОРІЇ]</a:t>
                    </a:fld>
                    <a:r>
                      <a:rPr lang="uk-UA" baseline="0"/>
                      <a:t>;</a:t>
                    </a:r>
                  </a:p>
                  <a:p>
                    <a:r>
                      <a:rPr lang="uk-UA" baseline="0"/>
                      <a:t> </a:t>
                    </a:r>
                    <a:fld id="{B96855EA-9CC7-4332-B373-5BFCD5C74B3A}" type="VALUE">
                      <a:rPr lang="uk-UA" baseline="0"/>
                      <a:pPr/>
                      <a:t>[ЗНАЧЕННЯ]</a:t>
                    </a:fld>
                    <a:r>
                      <a:rPr lang="uk-UA" baseline="0"/>
                      <a:t>;</a:t>
                    </a:r>
                  </a:p>
                  <a:p>
                    <a:r>
                      <a:rPr lang="uk-UA" baseline="0"/>
                      <a:t> </a:t>
                    </a:r>
                    <a:fld id="{9ECE5356-3E31-4940-8B1E-5FA18F88F0B1}" type="PERCENTAGE">
                      <a:rPr lang="uk-UA" baseline="0"/>
                      <a:pPr/>
                      <a:t>[ВІДСОТОК]</a:t>
                    </a:fld>
                    <a:endParaRPr lang="uk-UA" baseline="0"/>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D9F2-441D-9DBB-4CFBE4B4A588}"/>
                </c:ext>
                <c:ext xmlns:c15="http://schemas.microsoft.com/office/drawing/2012/chart" uri="{CE6537A1-D6FC-4f65-9D91-7224C49458BB}">
                  <c15:layout/>
                  <c15:dlblFieldTable/>
                  <c15:showDataLabelsRange val="0"/>
                </c:ext>
              </c:extLst>
            </c:dLbl>
            <c:dLbl>
              <c:idx val="1"/>
              <c:layout>
                <c:manualLayout>
                  <c:x val="0.16596343178621659"/>
                  <c:y val="2.3460410557184751E-2"/>
                </c:manualLayout>
              </c:layout>
              <c:tx>
                <c:rich>
                  <a:bodyPr/>
                  <a:lstStyle/>
                  <a:p>
                    <a:fld id="{41B00C32-A769-4A20-8805-43C63A2A8A66}" type="CATEGORYNAME">
                      <a:rPr lang="uk-UA"/>
                      <a:pPr/>
                      <a:t>[ІМ’Я КАТЕГОРІЇ]</a:t>
                    </a:fld>
                    <a:r>
                      <a:rPr lang="uk-UA" baseline="0"/>
                      <a:t>; </a:t>
                    </a:r>
                  </a:p>
                  <a:p>
                    <a:fld id="{C6E782E9-F0FE-4210-8E6B-26F12CEBD297}" type="VALUE">
                      <a:rPr lang="uk-UA" baseline="0"/>
                      <a:pPr/>
                      <a:t>[ЗНАЧЕННЯ]</a:t>
                    </a:fld>
                    <a:r>
                      <a:rPr lang="uk-UA" baseline="0"/>
                      <a:t>;</a:t>
                    </a:r>
                  </a:p>
                  <a:p>
                    <a:r>
                      <a:rPr lang="uk-UA" baseline="0"/>
                      <a:t> </a:t>
                    </a:r>
                    <a:fld id="{40F605AD-1968-4FE9-8DB9-3709D0E0C90D}" type="PERCENTAGE">
                      <a:rPr lang="uk-UA" baseline="0"/>
                      <a:pPr/>
                      <a:t>[ВІДСОТОК]</a:t>
                    </a:fld>
                    <a:endParaRPr lang="uk-UA" baseline="0"/>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D9F2-441D-9DBB-4CFBE4B4A588}"/>
                </c:ext>
                <c:ext xmlns:c15="http://schemas.microsoft.com/office/drawing/2012/chart" uri="{CE6537A1-D6FC-4f65-9D91-7224C49458BB}">
                  <c15:layout/>
                  <c15:dlblFieldTable/>
                  <c15:showDataLabelsRange val="0"/>
                </c:ext>
              </c:extLst>
            </c:dLbl>
            <c:dLbl>
              <c:idx val="2"/>
              <c:layout>
                <c:manualLayout>
                  <c:x val="-0.15819646815992661"/>
                  <c:y val="0.19180887767008589"/>
                </c:manualLayout>
              </c:layout>
              <c:tx>
                <c:rich>
                  <a:bodyPr/>
                  <a:lstStyle/>
                  <a:p>
                    <a:fld id="{97B458F7-1B9E-4D50-A98B-4A5EB0C21B01}" type="CATEGORYNAME">
                      <a:rPr lang="uk-UA"/>
                      <a:pPr/>
                      <a:t>[ІМ’Я КАТЕГОРІЇ]</a:t>
                    </a:fld>
                    <a:r>
                      <a:rPr lang="uk-UA" baseline="0"/>
                      <a:t>;</a:t>
                    </a:r>
                  </a:p>
                  <a:p>
                    <a:r>
                      <a:rPr lang="uk-UA" baseline="0"/>
                      <a:t> </a:t>
                    </a:r>
                    <a:fld id="{CD8AC500-CA73-4C05-9D9A-D3BED840D2E8}" type="VALUE">
                      <a:rPr lang="uk-UA" baseline="0"/>
                      <a:pPr/>
                      <a:t>[ЗНАЧЕННЯ]</a:t>
                    </a:fld>
                    <a:r>
                      <a:rPr lang="uk-UA" baseline="0"/>
                      <a:t>; </a:t>
                    </a:r>
                  </a:p>
                  <a:p>
                    <a:fld id="{FEA35718-1C67-4949-B7C1-64A694377E5B}" type="PERCENTAGE">
                      <a:rPr lang="uk-UA" baseline="0"/>
                      <a:pPr/>
                      <a:t>[ВІДСОТОК]</a:t>
                    </a:fld>
                    <a:endParaRPr lang="uk-UA"/>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D9F2-441D-9DBB-4CFBE4B4A588}"/>
                </c:ext>
                <c:ext xmlns:c15="http://schemas.microsoft.com/office/drawing/2012/chart" uri="{CE6537A1-D6FC-4f65-9D91-7224C49458BB}">
                  <c15:layout/>
                  <c15:dlblFieldTable/>
                  <c15:showDataLabelsRange val="0"/>
                </c:ext>
              </c:extLst>
            </c:dLbl>
            <c:dLbl>
              <c:idx val="3"/>
              <c:layout>
                <c:manualLayout>
                  <c:x val="-0.16618749840735927"/>
                  <c:y val="6.4141581771309741E-2"/>
                </c:manualLayout>
              </c:layout>
              <c:tx>
                <c:rich>
                  <a:bodyPr/>
                  <a:lstStyle/>
                  <a:p>
                    <a:fld id="{7FBDE843-04AF-4004-A2D3-4511ED549474}" type="CATEGORYNAME">
                      <a:rPr lang="uk-UA"/>
                      <a:pPr/>
                      <a:t>[ІМ’Я КАТЕГОРІЇ]</a:t>
                    </a:fld>
                    <a:r>
                      <a:rPr lang="uk-UA" baseline="0"/>
                      <a:t>; </a:t>
                    </a:r>
                    <a:fld id="{A698B474-BA5C-4635-ABA3-76D3DA63EFF3}" type="VALUE">
                      <a:rPr lang="uk-UA" baseline="0"/>
                      <a:pPr/>
                      <a:t>[ЗНАЧЕННЯ]</a:t>
                    </a:fld>
                    <a:r>
                      <a:rPr lang="uk-UA" baseline="0"/>
                      <a:t>;</a:t>
                    </a:r>
                  </a:p>
                  <a:p>
                    <a:r>
                      <a:rPr lang="uk-UA" baseline="0"/>
                      <a:t> </a:t>
                    </a:r>
                    <a:fld id="{83A90682-A5B7-4F02-8BE5-6A8C7A9436D4}" type="PERCENTAGE">
                      <a:rPr lang="uk-UA" baseline="0"/>
                      <a:pPr/>
                      <a:t>[ВІДСОТОК]</a:t>
                    </a:fld>
                    <a:endParaRPr lang="uk-UA" baseline="0"/>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D9F2-441D-9DBB-4CFBE4B4A588}"/>
                </c:ext>
                <c:ext xmlns:c15="http://schemas.microsoft.com/office/drawing/2012/chart" uri="{CE6537A1-D6FC-4f65-9D91-7224C49458BB}">
                  <c15:layout/>
                  <c15:dlblFieldTable/>
                  <c15:showDataLabelsRange val="0"/>
                </c:ext>
              </c:extLst>
            </c:dLbl>
            <c:dLbl>
              <c:idx val="4"/>
              <c:layout>
                <c:manualLayout>
                  <c:x val="-0.1963597074637515"/>
                  <c:y val="-6.8602695516276888E-2"/>
                </c:manualLayout>
              </c:layout>
              <c:tx>
                <c:rich>
                  <a:bodyPr/>
                  <a:lstStyle/>
                  <a:p>
                    <a:fld id="{B538D46C-897E-4723-ACE7-7A21C02B967B}" type="CATEGORYNAME">
                      <a:rPr lang="uk-UA"/>
                      <a:pPr/>
                      <a:t>[ІМ’Я КАТЕГОРІЇ]</a:t>
                    </a:fld>
                    <a:r>
                      <a:rPr lang="uk-UA" baseline="0"/>
                      <a:t>;</a:t>
                    </a:r>
                  </a:p>
                  <a:p>
                    <a:r>
                      <a:rPr lang="uk-UA" baseline="0"/>
                      <a:t> </a:t>
                    </a:r>
                    <a:fld id="{4AE57BEC-5707-4850-A881-87C766EF4026}" type="VALUE">
                      <a:rPr lang="uk-UA" baseline="0"/>
                      <a:pPr/>
                      <a:t>[ЗНАЧЕННЯ]</a:t>
                    </a:fld>
                    <a:r>
                      <a:rPr lang="uk-UA" baseline="0"/>
                      <a:t>; </a:t>
                    </a:r>
                  </a:p>
                  <a:p>
                    <a:fld id="{B69D9C83-F86C-449B-A976-BF7D3625E16C}" type="PERCENTAGE">
                      <a:rPr lang="uk-UA" baseline="0"/>
                      <a:pPr/>
                      <a:t>[ВІДСОТОК]</a:t>
                    </a:fld>
                    <a:endParaRPr lang="uk-UA"/>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D9F2-441D-9DBB-4CFBE4B4A588}"/>
                </c:ext>
                <c:ext xmlns:c15="http://schemas.microsoft.com/office/drawing/2012/chart" uri="{CE6537A1-D6FC-4f65-9D91-7224C49458BB}">
                  <c15:layout/>
                  <c15:dlblFieldTable/>
                  <c15:showDataLabelsRange val="0"/>
                </c:ext>
              </c:extLst>
            </c:dLbl>
            <c:dLbl>
              <c:idx val="5"/>
              <c:layout>
                <c:manualLayout>
                  <c:x val="-0.16746772963539985"/>
                  <c:y val="-0.19362703651029753"/>
                </c:manualLayout>
              </c:layout>
              <c:tx>
                <c:rich>
                  <a:bodyPr/>
                  <a:lstStyle/>
                  <a:p>
                    <a:fld id="{599A514C-CD09-430D-BCD5-9B41EEAFEC4A}" type="CATEGORYNAME">
                      <a:rPr lang="uk-UA"/>
                      <a:pPr/>
                      <a:t>[ІМ’Я КАТЕГОРІЇ]</a:t>
                    </a:fld>
                    <a:endParaRPr lang="uk-UA"/>
                  </a:p>
                  <a:p>
                    <a:r>
                      <a:rPr lang="uk-UA" baseline="0"/>
                      <a:t> </a:t>
                    </a:r>
                    <a:fld id="{C4106342-CF2F-4997-A28B-7A0754DEAF35}" type="VALUE">
                      <a:rPr lang="uk-UA" baseline="0"/>
                      <a:pPr/>
                      <a:t>[ЗНАЧЕННЯ]</a:t>
                    </a:fld>
                    <a:r>
                      <a:rPr lang="uk-UA" baseline="0"/>
                      <a:t>;</a:t>
                    </a:r>
                  </a:p>
                  <a:p>
                    <a:r>
                      <a:rPr lang="uk-UA" baseline="0"/>
                      <a:t> </a:t>
                    </a:r>
                    <a:fld id="{691B2F2E-7899-4861-BA3D-4A558C1E0D5D}" type="PERCENTAGE">
                      <a:rPr lang="uk-UA" baseline="0"/>
                      <a:pPr/>
                      <a:t>[ВІДСОТОК]</a:t>
                    </a:fld>
                    <a:endParaRPr lang="uk-UA" baseline="0"/>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B-D9F2-441D-9DBB-4CFBE4B4A588}"/>
                </c:ext>
                <c:ext xmlns:c15="http://schemas.microsoft.com/office/drawing/2012/chart" uri="{CE6537A1-D6FC-4f65-9D91-7224C49458BB}">
                  <c15:layout/>
                  <c15:dlblFieldTable/>
                  <c15:showDataLabelsRange val="0"/>
                </c:ext>
              </c:extLst>
            </c:dLbl>
            <c:dLbl>
              <c:idx val="6"/>
              <c:layout>
                <c:manualLayout>
                  <c:x val="-1.2755999083002326E-2"/>
                  <c:y val="-0.15058543285135625"/>
                </c:manualLayout>
              </c:layout>
              <c:tx>
                <c:rich>
                  <a:bodyPr/>
                  <a:lstStyle/>
                  <a:p>
                    <a:fld id="{4D302D4B-1560-476D-A189-08ED005F2548}" type="CATEGORYNAME">
                      <a:rPr lang="uk-UA"/>
                      <a:pPr/>
                      <a:t>[ІМ’Я КАТЕГОРІЇ]</a:t>
                    </a:fld>
                    <a:r>
                      <a:rPr lang="uk-UA" baseline="0"/>
                      <a:t>; </a:t>
                    </a:r>
                    <a:fld id="{169BACE9-6E67-4212-808F-DE2A5B0330F5}" type="VALUE">
                      <a:rPr lang="uk-UA" baseline="0"/>
                      <a:pPr/>
                      <a:t>[ЗНАЧЕННЯ]</a:t>
                    </a:fld>
                    <a:r>
                      <a:rPr lang="uk-UA" baseline="0"/>
                      <a:t>;</a:t>
                    </a:r>
                  </a:p>
                  <a:p>
                    <a:r>
                      <a:rPr lang="uk-UA" baseline="0"/>
                      <a:t> </a:t>
                    </a:r>
                    <a:fld id="{961DDF38-BF62-4083-9C75-07E397E0C035}" type="PERCENTAGE">
                      <a:rPr lang="uk-UA" baseline="0"/>
                      <a:pPr/>
                      <a:t>[ВІДСОТОК]</a:t>
                    </a:fld>
                    <a:endParaRPr lang="uk-UA" baseline="0"/>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D-D9F2-441D-9DBB-4CFBE4B4A588}"/>
                </c:ext>
                <c:ext xmlns:c15="http://schemas.microsoft.com/office/drawing/2012/chart" uri="{CE6537A1-D6FC-4f65-9D91-7224C49458BB}">
                  <c15:layout/>
                  <c15:dlblFieldTable/>
                  <c15:showDataLabelsRange val="0"/>
                </c:ext>
              </c:extLst>
            </c:dLbl>
            <c:dLbl>
              <c:idx val="7"/>
              <c:layout>
                <c:manualLayout>
                  <c:x val="0.12248910633743598"/>
                  <c:y val="-0.12673502108623344"/>
                </c:manualLayout>
              </c:layout>
              <c:tx>
                <c:rich>
                  <a:bodyPr/>
                  <a:lstStyle/>
                  <a:p>
                    <a:fld id="{9096B6D4-09D6-46E5-AC92-C94091DDF9CC}" type="CATEGORYNAME">
                      <a:rPr lang="uk-UA"/>
                      <a:pPr/>
                      <a:t>[ІМ’Я КАТЕГОРІЇ]</a:t>
                    </a:fld>
                    <a:r>
                      <a:rPr lang="uk-UA" baseline="0"/>
                      <a:t>;</a:t>
                    </a:r>
                  </a:p>
                  <a:p>
                    <a:r>
                      <a:rPr lang="uk-UA" baseline="0"/>
                      <a:t> </a:t>
                    </a:r>
                    <a:fld id="{9EF39261-1C6D-4BFE-A107-A37601B62363}" type="VALUE">
                      <a:rPr lang="uk-UA" baseline="0"/>
                      <a:pPr/>
                      <a:t>[ЗНАЧЕННЯ]</a:t>
                    </a:fld>
                    <a:r>
                      <a:rPr lang="uk-UA" baseline="0"/>
                      <a:t>; </a:t>
                    </a:r>
                  </a:p>
                  <a:p>
                    <a:fld id="{C334BC8D-8837-422E-AA52-81BB6836B5FA}" type="PERCENTAGE">
                      <a:rPr lang="uk-UA" baseline="0"/>
                      <a:pPr/>
                      <a:t>[ВІДСОТОК]</a:t>
                    </a:fld>
                    <a:endParaRPr lang="uk-UA"/>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F-D9F2-441D-9DBB-4CFBE4B4A588}"/>
                </c:ext>
                <c:ext xmlns:c15="http://schemas.microsoft.com/office/drawing/2012/chart" uri="{CE6537A1-D6FC-4f65-9D91-7224C49458BB}">
                  <c15:layout/>
                  <c15:dlblFieldTable/>
                  <c15:showDataLabelsRange val="0"/>
                </c:ext>
              </c:extLst>
            </c:dLbl>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Аркуш2!$A$2:$A$9</c:f>
              <c:strCache>
                <c:ptCount val="8"/>
                <c:pt idx="0">
                  <c:v>Державне управління</c:v>
                </c:pt>
                <c:pt idx="1">
                  <c:v>Освіта</c:v>
                </c:pt>
                <c:pt idx="2">
                  <c:v>Охорона здоров"я</c:v>
                </c:pt>
                <c:pt idx="3">
                  <c:v>Соціальний захист та соціальне забезпечення </c:v>
                </c:pt>
                <c:pt idx="4">
                  <c:v>Культура і мистецтво</c:v>
                </c:pt>
                <c:pt idx="5">
                  <c:v>Фізична культура і спорт</c:v>
                </c:pt>
                <c:pt idx="6">
                  <c:v>Житлово-комунальне господарство</c:v>
                </c:pt>
                <c:pt idx="7">
                  <c:v>Економічна, інша діяльність</c:v>
                </c:pt>
              </c:strCache>
            </c:strRef>
          </c:cat>
          <c:val>
            <c:numRef>
              <c:f>Аркуш2!$B$2:$B$9</c:f>
              <c:numCache>
                <c:formatCode>#\ ##0.0</c:formatCode>
                <c:ptCount val="8"/>
                <c:pt idx="0">
                  <c:v>11876</c:v>
                </c:pt>
                <c:pt idx="1">
                  <c:v>76353.600000000006</c:v>
                </c:pt>
                <c:pt idx="2">
                  <c:v>2655.8</c:v>
                </c:pt>
                <c:pt idx="3">
                  <c:v>4369.8999999999996</c:v>
                </c:pt>
                <c:pt idx="4">
                  <c:v>2836.2</c:v>
                </c:pt>
                <c:pt idx="5">
                  <c:v>976.7</c:v>
                </c:pt>
                <c:pt idx="6">
                  <c:v>16334.2</c:v>
                </c:pt>
                <c:pt idx="7">
                  <c:v>2348.5</c:v>
                </c:pt>
              </c:numCache>
            </c:numRef>
          </c:val>
          <c:extLst xmlns:c16r2="http://schemas.microsoft.com/office/drawing/2015/06/chart">
            <c:ext xmlns:c16="http://schemas.microsoft.com/office/drawing/2014/chart" uri="{C3380CC4-5D6E-409C-BE32-E72D297353CC}">
              <c16:uniqueId val="{00000010-D9F2-441D-9DBB-4CFBE4B4A588}"/>
            </c:ext>
          </c:extLst>
        </c:ser>
        <c:dLbls>
          <c:showLegendKey val="0"/>
          <c:showVal val="1"/>
          <c:showCatName val="0"/>
          <c:showSerName val="0"/>
          <c:showPercent val="0"/>
          <c:showBubbleSize val="0"/>
          <c:showLeaderLines val="1"/>
        </c:dLbls>
        <c:firstSliceAng val="0"/>
        <c:holeSize val="75"/>
      </c:doughnut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400"/>
            </a:pPr>
            <a:r>
              <a:rPr lang="uk-UA" sz="1400"/>
              <a:t>Структура видатків загального та спеціального фондів галузі " Державне управління"</a:t>
            </a:r>
          </a:p>
          <a:p>
            <a:pPr>
              <a:defRPr sz="1400"/>
            </a:pPr>
            <a:r>
              <a:rPr lang="uk-UA" sz="1400"/>
              <a:t> за економічною класифікацією </a:t>
            </a:r>
          </a:p>
          <a:p>
            <a:pPr>
              <a:defRPr sz="1400"/>
            </a:pPr>
            <a:r>
              <a:rPr lang="uk-UA" sz="1400"/>
              <a:t> </a:t>
            </a:r>
            <a:r>
              <a:rPr lang="en-US" sz="1400"/>
              <a:t>I </a:t>
            </a:r>
            <a:r>
              <a:rPr lang="uk-UA" sz="1400"/>
              <a:t>квартал 2021 року  (тис.грн.)</a:t>
            </a:r>
          </a:p>
          <a:p>
            <a:pPr>
              <a:defRPr sz="1400"/>
            </a:pPr>
            <a:endParaRPr lang="uk-UA" sz="1400"/>
          </a:p>
        </c:rich>
      </c:tx>
      <c:layout>
        <c:manualLayout>
          <c:xMode val="edge"/>
          <c:yMode val="edge"/>
          <c:x val="0.12171780457068292"/>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Аркуш1!$A$1:$A$7</c:f>
              <c:strCache>
                <c:ptCount val="7"/>
                <c:pt idx="0">
                  <c:v>Придбання обладнання і предметів довгострокового користування</c:v>
                </c:pt>
                <c:pt idx="1">
                  <c:v>Інші поточні видатки</c:v>
                </c:pt>
                <c:pt idx="2">
                  <c:v>Субсидії та поточні трансферти підприємствам (установам, організаціям)</c:v>
                </c:pt>
                <c:pt idx="3">
                  <c:v>Предмети, обладнання та інвентар</c:v>
                </c:pt>
                <c:pt idx="4">
                  <c:v>Оплата послуг (крім комунальних) та відрядження</c:v>
                </c:pt>
                <c:pt idx="5">
                  <c:v>Оплата комунальних послуг та енергоносіїв</c:v>
                </c:pt>
                <c:pt idx="6">
                  <c:v>Заробітна плата  та нарахування на неї</c:v>
                </c:pt>
              </c:strCache>
            </c:strRef>
          </c:cat>
          <c:val>
            <c:numRef>
              <c:f>Аркуш1!$B$1:$B$7</c:f>
              <c:numCache>
                <c:formatCode>#\ ##0.0</c:formatCode>
                <c:ptCount val="7"/>
                <c:pt idx="0">
                  <c:v>76.900000000000006</c:v>
                </c:pt>
                <c:pt idx="1">
                  <c:v>172.4</c:v>
                </c:pt>
                <c:pt idx="2">
                  <c:v>184.2</c:v>
                </c:pt>
                <c:pt idx="3">
                  <c:v>184.7</c:v>
                </c:pt>
                <c:pt idx="4">
                  <c:v>433.3</c:v>
                </c:pt>
                <c:pt idx="5">
                  <c:v>509</c:v>
                </c:pt>
                <c:pt idx="6">
                  <c:v>10315.5</c:v>
                </c:pt>
              </c:numCache>
            </c:numRef>
          </c:val>
          <c:extLst xmlns:c16r2="http://schemas.microsoft.com/office/drawing/2015/06/chart">
            <c:ext xmlns:c16="http://schemas.microsoft.com/office/drawing/2014/chart" uri="{C3380CC4-5D6E-409C-BE32-E72D297353CC}">
              <c16:uniqueId val="{00000000-D8F8-42A5-96A2-8480DF3B4E7D}"/>
            </c:ext>
          </c:extLst>
        </c:ser>
        <c:dLbls>
          <c:showLegendKey val="0"/>
          <c:showVal val="0"/>
          <c:showCatName val="0"/>
          <c:showSerName val="0"/>
          <c:showPercent val="0"/>
          <c:showBubbleSize val="0"/>
        </c:dLbls>
        <c:gapWidth val="150"/>
        <c:axId val="299976048"/>
        <c:axId val="299978792"/>
      </c:barChart>
      <c:catAx>
        <c:axId val="299976048"/>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299978792"/>
        <c:crosses val="autoZero"/>
        <c:auto val="1"/>
        <c:lblAlgn val="ctr"/>
        <c:lblOffset val="100"/>
        <c:noMultiLvlLbl val="0"/>
      </c:catAx>
      <c:valAx>
        <c:axId val="29997879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29997604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b="1"/>
              <a:t>Джерела фінансування галузі "Освіта" </a:t>
            </a:r>
          </a:p>
          <a:p>
            <a:pPr>
              <a:defRPr b="1"/>
            </a:pPr>
            <a:r>
              <a:rPr lang="uk-UA" b="1"/>
              <a:t>за І квартал 2021 року (тис. грн.)</a:t>
            </a:r>
          </a:p>
        </c:rich>
      </c:tx>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4027777777777778"/>
          <c:y val="0.10994548758328287"/>
          <c:w val="0.82222222222222208"/>
          <c:h val="0.70965136802068474"/>
        </c:manualLayout>
      </c:layout>
      <c:pie3DChart>
        <c:varyColors val="1"/>
        <c:ser>
          <c:idx val="0"/>
          <c:order val="0"/>
          <c:explosion val="5"/>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9024-4DB2-901D-7D83AFAD0CD3}"/>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9024-4DB2-901D-7D83AFAD0CD3}"/>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9024-4DB2-901D-7D83AFAD0CD3}"/>
              </c:ext>
            </c:extLst>
          </c:dPt>
          <c:dPt>
            <c:idx val="3"/>
            <c:bubble3D val="0"/>
            <c:spPr>
              <a:solidFill>
                <a:schemeClr val="accent4"/>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7-9024-4DB2-901D-7D83AFAD0CD3}"/>
              </c:ext>
            </c:extLst>
          </c:dPt>
          <c:dLbls>
            <c:dLbl>
              <c:idx val="0"/>
              <c:layout>
                <c:manualLayout>
                  <c:x val="-0.16417366579177603"/>
                  <c:y val="-0.11761952368235297"/>
                </c:manualLayout>
              </c:layout>
              <c:tx>
                <c:rich>
                  <a:bodyPr/>
                  <a:lstStyle/>
                  <a:p>
                    <a:fld id="{84937B0C-9A28-459A-81B8-FF007363AF10}" type="CATEGORYNAME">
                      <a:rPr lang="uk-UA"/>
                      <a:pPr/>
                      <a:t>[ІМ’Я КАТЕГОРІЇ]</a:t>
                    </a:fld>
                    <a:endParaRPr lang="uk-UA"/>
                  </a:p>
                  <a:p>
                    <a:r>
                      <a:rPr lang="uk-UA" baseline="0"/>
                      <a:t> </a:t>
                    </a:r>
                    <a:fld id="{A916F47F-D720-4B06-A9AE-207A64FE12A2}" type="VALUE">
                      <a:rPr lang="uk-UA" baseline="0"/>
                      <a:pPr/>
                      <a:t>[ЗНАЧЕННЯ]</a:t>
                    </a:fld>
                    <a:endParaRPr lang="uk-UA" baseline="0"/>
                  </a:p>
                  <a:p>
                    <a:r>
                      <a:rPr lang="uk-UA" baseline="0"/>
                      <a:t> </a:t>
                    </a:r>
                    <a:fld id="{9141B731-44C2-4074-ADEE-5401C94BDA2A}" type="PERCENTAGE">
                      <a:rPr lang="uk-UA" baseline="0"/>
                      <a:pPr/>
                      <a:t>[ВІДСОТОК]</a:t>
                    </a:fld>
                    <a:endParaRPr lang="uk-UA" baseline="0"/>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9024-4DB2-901D-7D83AFAD0CD3}"/>
                </c:ext>
                <c:ext xmlns:c15="http://schemas.microsoft.com/office/drawing/2012/chart" uri="{CE6537A1-D6FC-4f65-9D91-7224C49458BB}">
                  <c15:layout/>
                  <c15:dlblFieldTable/>
                  <c15:showDataLabelsRange val="0"/>
                </c:ext>
              </c:extLst>
            </c:dLbl>
            <c:dLbl>
              <c:idx val="1"/>
              <c:layout>
                <c:manualLayout>
                  <c:x val="0.29181018389033891"/>
                  <c:y val="2.7850428089959696E-2"/>
                </c:manualLayout>
              </c:layout>
              <c:tx>
                <c:rich>
                  <a:bodyPr/>
                  <a:lstStyle/>
                  <a:p>
                    <a:fld id="{9E0599DC-0683-4E3C-BD38-FC22C81649D2}" type="CATEGORYNAME">
                      <a:rPr lang="uk-UA"/>
                      <a:pPr/>
                      <a:t>[ІМ’Я КАТЕГОРІЇ]</a:t>
                    </a:fld>
                    <a:endParaRPr lang="uk-UA"/>
                  </a:p>
                  <a:p>
                    <a:r>
                      <a:rPr lang="uk-UA"/>
                      <a:t> </a:t>
                    </a:r>
                    <a:fld id="{0F7F515C-0F19-4158-A88B-20AE7DBEA13F}" type="VALUE">
                      <a:rPr lang="uk-UA"/>
                      <a:pPr/>
                      <a:t>[ЗНАЧЕННЯ]</a:t>
                    </a:fld>
                    <a:endParaRPr lang="uk-UA"/>
                  </a:p>
                  <a:p>
                    <a:r>
                      <a:rPr lang="uk-UA"/>
                      <a:t> </a:t>
                    </a:r>
                    <a:fld id="{CBD6C628-EABC-45AC-BF7C-950AC02CAEE3}" type="PERCENTAGE">
                      <a:rPr lang="uk-UA"/>
                      <a:pPr/>
                      <a:t>[ВІДСОТОК]</a:t>
                    </a:fld>
                    <a:endParaRPr lang="uk-UA"/>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9024-4DB2-901D-7D83AFAD0CD3}"/>
                </c:ext>
                <c:ext xmlns:c15="http://schemas.microsoft.com/office/drawing/2012/chart" uri="{CE6537A1-D6FC-4f65-9D91-7224C49458BB}">
                  <c15:layout>
                    <c:manualLayout>
                      <c:w val="0.21926634308668522"/>
                      <c:h val="0.24533321757257712"/>
                    </c:manualLayout>
                  </c15:layout>
                  <c15:dlblFieldTable/>
                  <c15:showDataLabelsRange val="0"/>
                </c:ext>
              </c:extLst>
            </c:dLbl>
            <c:dLbl>
              <c:idx val="2"/>
              <c:layout>
                <c:manualLayout>
                  <c:x val="-0.10038098076449556"/>
                  <c:y val="-2.9850939938805651E-2"/>
                </c:manualLayout>
              </c:layout>
              <c:tx>
                <c:rich>
                  <a:bodyPr/>
                  <a:lstStyle/>
                  <a:p>
                    <a:fld id="{2889B215-CA7F-4074-A325-FF58F5315776}" type="CATEGORYNAME">
                      <a:rPr lang="uk-UA"/>
                      <a:pPr/>
                      <a:t>[ІМ’Я КАТЕГОРІЇ]</a:t>
                    </a:fld>
                    <a:endParaRPr lang="uk-UA"/>
                  </a:p>
                  <a:p>
                    <a:r>
                      <a:rPr lang="uk-UA"/>
                      <a:t> </a:t>
                    </a:r>
                    <a:fld id="{6EDBD52D-095C-4950-90CF-8A1F62DD2AE5}" type="VALUE">
                      <a:rPr lang="uk-UA"/>
                      <a:pPr/>
                      <a:t>[ЗНАЧЕННЯ]</a:t>
                    </a:fld>
                    <a:endParaRPr lang="uk-UA"/>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9024-4DB2-901D-7D83AFAD0CD3}"/>
                </c:ext>
                <c:ext xmlns:c15="http://schemas.microsoft.com/office/drawing/2012/chart" uri="{CE6537A1-D6FC-4f65-9D91-7224C49458BB}">
                  <c15:layout>
                    <c:manualLayout>
                      <c:w val="0.22390887379982294"/>
                      <c:h val="0.27229949698333916"/>
                    </c:manualLayout>
                  </c15:layout>
                  <c15:dlblFieldTable/>
                  <c15:showDataLabelsRange val="0"/>
                </c:ext>
              </c:extLst>
            </c:dLbl>
            <c:dLbl>
              <c:idx val="3"/>
              <c:layout>
                <c:manualLayout>
                  <c:x val="0.26902329396325458"/>
                  <c:y val="2.1245069589156423E-2"/>
                </c:manualLayout>
              </c:layout>
              <c:tx>
                <c:rich>
                  <a:bodyPr/>
                  <a:lstStyle/>
                  <a:p>
                    <a:fld id="{D3641A7B-FC11-452D-9485-B8BE75DB72DD}" type="CATEGORYNAME">
                      <a:rPr lang="uk-UA"/>
                      <a:pPr/>
                      <a:t>[ІМ’Я КАТЕГОРІЇ]</a:t>
                    </a:fld>
                    <a:endParaRPr lang="uk-UA"/>
                  </a:p>
                  <a:p>
                    <a:r>
                      <a:rPr lang="uk-UA" baseline="0"/>
                      <a:t> </a:t>
                    </a:r>
                    <a:fld id="{F0018FCE-6F07-4A6C-AB4D-A72EA43DAD1D}" type="VALUE">
                      <a:rPr lang="uk-UA" baseline="0"/>
                      <a:pPr/>
                      <a:t>[ЗНАЧЕННЯ]</a:t>
                    </a:fld>
                    <a:endParaRPr lang="uk-UA" baseline="0"/>
                  </a:p>
                  <a:p>
                    <a:r>
                      <a:rPr lang="uk-UA" baseline="0"/>
                      <a:t> </a:t>
                    </a:r>
                    <a:fld id="{F6822FE0-2BEB-4DFD-9A36-1963FDAFFDCA}" type="PERCENTAGE">
                      <a:rPr lang="uk-UA" baseline="0"/>
                      <a:pPr/>
                      <a:t>[ВІДСОТОК]</a:t>
                    </a:fld>
                    <a:endParaRPr lang="uk-UA" baseline="0"/>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9024-4DB2-901D-7D83AFAD0CD3}"/>
                </c:ex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Освіта!$A$3:$A$6</c:f>
              <c:strCache>
                <c:ptCount val="4"/>
                <c:pt idx="0">
                  <c:v>Місцевий бюджет</c:v>
                </c:pt>
                <c:pt idx="1">
                  <c:v>за рахунок субвенції з м/б на здійснення переданих видатків у сфері освіти</c:v>
                </c:pt>
                <c:pt idx="2">
                  <c:v>за рахунок субвенції на надання державної підтримки особам з особливими освітніми потребами</c:v>
                </c:pt>
                <c:pt idx="3">
                  <c:v>Освітня субвенція</c:v>
                </c:pt>
              </c:strCache>
            </c:strRef>
          </c:cat>
          <c:val>
            <c:numRef>
              <c:f>Освіта!$B$3:$B$6</c:f>
              <c:numCache>
                <c:formatCode>#\ ##0.0</c:formatCode>
                <c:ptCount val="4"/>
                <c:pt idx="0">
                  <c:v>43789.1</c:v>
                </c:pt>
                <c:pt idx="1">
                  <c:v>441.6</c:v>
                </c:pt>
                <c:pt idx="2">
                  <c:v>151.9</c:v>
                </c:pt>
                <c:pt idx="3">
                  <c:v>31971</c:v>
                </c:pt>
              </c:numCache>
            </c:numRef>
          </c:val>
          <c:extLst xmlns:c16r2="http://schemas.microsoft.com/office/drawing/2015/06/chart">
            <c:ext xmlns:c16="http://schemas.microsoft.com/office/drawing/2014/chart" uri="{C3380CC4-5D6E-409C-BE32-E72D297353CC}">
              <c16:uniqueId val="{00000008-9024-4DB2-901D-7D83AFAD0CD3}"/>
            </c:ext>
          </c:extLst>
        </c:ser>
        <c:dLbls>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400" b="1" i="0" u="none" strike="noStrike" baseline="0">
                <a:solidFill>
                  <a:srgbClr val="000000"/>
                </a:solidFill>
                <a:latin typeface="Times New Roman"/>
                <a:ea typeface="Times New Roman"/>
                <a:cs typeface="Times New Roman"/>
              </a:defRPr>
            </a:pPr>
            <a:r>
              <a:rPr lang="uk-UA" sz="1400"/>
              <a:t>Структура видатків загального та спеціального фондів місцевого бюджету Бучанської міської територіальної громади за економічною класифікацією 
за </a:t>
            </a:r>
            <a:r>
              <a:rPr lang="en-US" sz="1400"/>
              <a:t>I </a:t>
            </a:r>
            <a:r>
              <a:rPr lang="uk-UA" sz="1400"/>
              <a:t>квартал 2021 року  (тис.грн.)</a:t>
            </a:r>
          </a:p>
        </c:rich>
      </c:tx>
      <c:layout>
        <c:manualLayout>
          <c:xMode val="edge"/>
          <c:yMode val="edge"/>
          <c:x val="0.13064292326735247"/>
          <c:y val="1.2161246942449086E-2"/>
        </c:manualLayout>
      </c:layout>
      <c:overlay val="0"/>
      <c:spPr>
        <a:noFill/>
        <a:ln w="25400">
          <a:noFill/>
        </a:ln>
      </c:spPr>
    </c:title>
    <c:autoTitleDeleted val="0"/>
    <c:plotArea>
      <c:layout>
        <c:manualLayout>
          <c:layoutTarget val="inner"/>
          <c:xMode val="edge"/>
          <c:yMode val="edge"/>
          <c:x val="0.50089452295082337"/>
          <c:y val="0.15798637896453682"/>
          <c:w val="0.49124033471999562"/>
          <c:h val="0.8125463229676948"/>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Аркуш1!$A$1:$A$9</c:f>
              <c:strCache>
                <c:ptCount val="9"/>
                <c:pt idx="0">
                  <c:v>Інші поточні видатки </c:v>
                </c:pt>
                <c:pt idx="1">
                  <c:v>Окремі заходи по реалізації державних(регіональних) програм, не віднесені до заходів розвитку</c:v>
                </c:pt>
                <c:pt idx="2">
                  <c:v>Придбання обладнання і предметів довгострокового користування</c:v>
                </c:pt>
                <c:pt idx="3">
                  <c:v>Субсидії та поточні трансферти підприємствам ( установам, організаціям)</c:v>
                </c:pt>
                <c:pt idx="4">
                  <c:v>Оплата послуг (крім комунальних) та відрядження</c:v>
                </c:pt>
                <c:pt idx="5">
                  <c:v>Предмети, обладнання та інвентар</c:v>
                </c:pt>
                <c:pt idx="6">
                  <c:v>Продукти харчування та медикаменти</c:v>
                </c:pt>
                <c:pt idx="7">
                  <c:v>Оплата комунальних послуг та енергоносіїв</c:v>
                </c:pt>
                <c:pt idx="8">
                  <c:v>Заробітна плата  та нарахування на неї</c:v>
                </c:pt>
              </c:strCache>
            </c:strRef>
          </c:cat>
          <c:val>
            <c:numRef>
              <c:f>Аркуш1!$B$1:$B$9</c:f>
              <c:numCache>
                <c:formatCode>#\ ##0.0</c:formatCode>
                <c:ptCount val="9"/>
                <c:pt idx="0">
                  <c:v>5.8000000000000007</c:v>
                </c:pt>
                <c:pt idx="1">
                  <c:v>30.2</c:v>
                </c:pt>
                <c:pt idx="2">
                  <c:v>36.6</c:v>
                </c:pt>
                <c:pt idx="3">
                  <c:v>125</c:v>
                </c:pt>
                <c:pt idx="4">
                  <c:v>549.9</c:v>
                </c:pt>
                <c:pt idx="5">
                  <c:v>941.7</c:v>
                </c:pt>
                <c:pt idx="6">
                  <c:v>2939.4</c:v>
                </c:pt>
                <c:pt idx="7">
                  <c:v>4835.2000000000007</c:v>
                </c:pt>
                <c:pt idx="8">
                  <c:v>66889.800000000017</c:v>
                </c:pt>
              </c:numCache>
            </c:numRef>
          </c:val>
          <c:extLst xmlns:c16r2="http://schemas.microsoft.com/office/drawing/2015/06/chart">
            <c:ext xmlns:c16="http://schemas.microsoft.com/office/drawing/2014/chart" uri="{C3380CC4-5D6E-409C-BE32-E72D297353CC}">
              <c16:uniqueId val="{00000000-6BF8-443E-8FAE-3E42F362CAB0}"/>
            </c:ext>
          </c:extLst>
        </c:ser>
        <c:dLbls>
          <c:showLegendKey val="0"/>
          <c:showVal val="0"/>
          <c:showCatName val="0"/>
          <c:showSerName val="0"/>
          <c:showPercent val="0"/>
          <c:showBubbleSize val="0"/>
        </c:dLbls>
        <c:gapWidth val="150"/>
        <c:axId val="299975656"/>
        <c:axId val="301770344"/>
      </c:barChart>
      <c:catAx>
        <c:axId val="299975656"/>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01770344"/>
        <c:crosses val="autoZero"/>
        <c:auto val="1"/>
        <c:lblAlgn val="ctr"/>
        <c:lblOffset val="100"/>
        <c:noMultiLvlLbl val="0"/>
      </c:catAx>
      <c:valAx>
        <c:axId val="301770344"/>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29997565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200" b="1">
                <a:latin typeface="Times New Roman" panose="02020603050405020304" pitchFamily="18" charset="0"/>
                <a:cs typeface="Times New Roman" panose="02020603050405020304" pitchFamily="18" charset="0"/>
              </a:rPr>
              <a:t>Джерела фінансування галузі "Охорона здоров"я" </a:t>
            </a:r>
          </a:p>
          <a:p>
            <a:pPr>
              <a:defRPr sz="1200" b="1">
                <a:latin typeface="Times New Roman" panose="02020603050405020304" pitchFamily="18" charset="0"/>
                <a:cs typeface="Times New Roman" panose="02020603050405020304" pitchFamily="18" charset="0"/>
              </a:defRPr>
            </a:pPr>
            <a:r>
              <a:rPr lang="uk-UA" sz="1200" b="1">
                <a:latin typeface="Times New Roman" panose="02020603050405020304" pitchFamily="18" charset="0"/>
                <a:cs typeface="Times New Roman" panose="02020603050405020304" pitchFamily="18" charset="0"/>
              </a:rPr>
              <a:t>по загальному та спеціальному фондах </a:t>
            </a:r>
          </a:p>
          <a:p>
            <a:pPr>
              <a:defRPr sz="1200" b="1">
                <a:latin typeface="Times New Roman" panose="02020603050405020304" pitchFamily="18" charset="0"/>
                <a:cs typeface="Times New Roman" panose="02020603050405020304" pitchFamily="18" charset="0"/>
              </a:defRPr>
            </a:pPr>
            <a:r>
              <a:rPr lang="uk-UA" sz="1200" b="1">
                <a:latin typeface="Times New Roman" panose="02020603050405020304" pitchFamily="18" charset="0"/>
                <a:cs typeface="Times New Roman" panose="02020603050405020304" pitchFamily="18" charset="0"/>
              </a:rPr>
              <a:t>за І квартал</a:t>
            </a:r>
            <a:r>
              <a:rPr lang="uk-UA" sz="1200" b="1" baseline="0">
                <a:latin typeface="Times New Roman" panose="02020603050405020304" pitchFamily="18" charset="0"/>
                <a:cs typeface="Times New Roman" panose="02020603050405020304" pitchFamily="18" charset="0"/>
              </a:rPr>
              <a:t> 2021 року (тис. грн.)</a:t>
            </a:r>
            <a:endParaRPr lang="uk-UA" sz="1200" b="1">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30082745754341689"/>
          <c:y val="0.38018817672360977"/>
          <c:w val="0.40763660639980975"/>
          <c:h val="0.66472560248150803"/>
        </c:manualLayout>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2C40-4577-8E44-6B3F3150A150}"/>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2C40-4577-8E44-6B3F3150A150}"/>
              </c:ext>
            </c:extLst>
          </c:dPt>
          <c:dLbls>
            <c:dLbl>
              <c:idx val="0"/>
              <c:layout>
                <c:manualLayout>
                  <c:x val="0.17833337905932489"/>
                  <c:y val="-0.21945955810838225"/>
                </c:manualLayout>
              </c:layout>
              <c:tx>
                <c:rich>
                  <a:bodyPr/>
                  <a:lstStyle/>
                  <a:p>
                    <a:fld id="{F8FE6917-BBBC-4736-9C62-EF8DCE237804}" type="CATEGORYNAME">
                      <a:rPr lang="uk-UA"/>
                      <a:pPr/>
                      <a:t>[ІМ’Я КАТЕГОРІЇ]</a:t>
                    </a:fld>
                    <a:endParaRPr lang="uk-UA"/>
                  </a:p>
                  <a:p>
                    <a:r>
                      <a:rPr lang="uk-UA" baseline="0"/>
                      <a:t> </a:t>
                    </a:r>
                    <a:fld id="{511C6297-5BDE-4FC5-AE02-0310B3400489}" type="VALUE">
                      <a:rPr lang="uk-UA" baseline="0"/>
                      <a:pPr/>
                      <a:t>[ЗНАЧЕННЯ]</a:t>
                    </a:fld>
                    <a:endParaRPr lang="uk-UA" baseline="0"/>
                  </a:p>
                  <a:p>
                    <a:r>
                      <a:rPr lang="uk-UA" baseline="0"/>
                      <a:t> </a:t>
                    </a:r>
                    <a:fld id="{875DC583-9E93-4052-80BB-089B107F659D}" type="PERCENTAGE">
                      <a:rPr lang="uk-UA" baseline="0"/>
                      <a:pPr/>
                      <a:t>[ВІДСОТОК]</a:t>
                    </a:fld>
                    <a:endParaRPr lang="uk-UA" baseline="0"/>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2C40-4577-8E44-6B3F3150A150}"/>
                </c:ext>
                <c:ext xmlns:c15="http://schemas.microsoft.com/office/drawing/2012/chart" uri="{CE6537A1-D6FC-4f65-9D91-7224C49458BB}">
                  <c15:layout/>
                  <c15:dlblFieldTable/>
                  <c15:showDataLabelsRange val="0"/>
                </c:ext>
              </c:extLst>
            </c:dLbl>
            <c:dLbl>
              <c:idx val="1"/>
              <c:layout>
                <c:manualLayout>
                  <c:x val="-0.10819300026521075"/>
                  <c:y val="0.31152652598265118"/>
                </c:manualLayout>
              </c:layout>
              <c:tx>
                <c:rich>
                  <a:bodyPr rot="0" spcFirstLastPara="1" vertOverflow="ellipsis" vert="horz" wrap="square" lIns="38100" tIns="19050" rIns="38100" bIns="19050" anchor="ctr" anchorCtr="1">
                    <a:no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CFDC164A-1F1F-460F-9C35-66356A2157CB}" type="CATEGORYNAME">
                      <a:rPr lang="uk-UA" sz="1100">
                        <a:latin typeface="Times New Roman" panose="02020603050405020304" pitchFamily="18" charset="0"/>
                        <a:cs typeface="Times New Roman" panose="02020603050405020304" pitchFamily="18" charset="0"/>
                      </a:rPr>
                      <a:pPr>
                        <a:defRPr sz="1100" b="1">
                          <a:latin typeface="Times New Roman" panose="02020603050405020304" pitchFamily="18" charset="0"/>
                          <a:cs typeface="Times New Roman" panose="02020603050405020304" pitchFamily="18" charset="0"/>
                        </a:defRPr>
                      </a:pPr>
                      <a:t>[ІМ’Я КАТЕГОРІЇ]</a:t>
                    </a:fld>
                    <a:endParaRPr lang="uk-UA" sz="1100">
                      <a:latin typeface="Times New Roman" panose="02020603050405020304" pitchFamily="18" charset="0"/>
                      <a:cs typeface="Times New Roman" panose="02020603050405020304" pitchFamily="18" charset="0"/>
                    </a:endParaRPr>
                  </a:p>
                  <a:p>
                    <a:pPr>
                      <a:defRPr sz="1100" b="1">
                        <a:latin typeface="Times New Roman" panose="02020603050405020304" pitchFamily="18" charset="0"/>
                        <a:cs typeface="Times New Roman" panose="02020603050405020304" pitchFamily="18" charset="0"/>
                      </a:defRPr>
                    </a:pPr>
                    <a:r>
                      <a:rPr lang="uk-UA" sz="1100" baseline="0">
                        <a:latin typeface="Times New Roman" panose="02020603050405020304" pitchFamily="18" charset="0"/>
                        <a:cs typeface="Times New Roman" panose="02020603050405020304" pitchFamily="18" charset="0"/>
                      </a:rPr>
                      <a:t> </a:t>
                    </a:r>
                    <a:fld id="{CC611771-C4A3-49BA-86E7-B6AF3882AED1}" type="VALUE">
                      <a:rPr lang="uk-UA" sz="1100" baseline="0">
                        <a:latin typeface="Times New Roman" panose="02020603050405020304" pitchFamily="18" charset="0"/>
                        <a:cs typeface="Times New Roman" panose="02020603050405020304" pitchFamily="18" charset="0"/>
                      </a:rPr>
                      <a:pPr>
                        <a:defRPr sz="1100" b="1">
                          <a:latin typeface="Times New Roman" panose="02020603050405020304" pitchFamily="18" charset="0"/>
                          <a:cs typeface="Times New Roman" panose="02020603050405020304" pitchFamily="18" charset="0"/>
                        </a:defRPr>
                      </a:pPr>
                      <a:t>[ЗНАЧЕННЯ]</a:t>
                    </a:fld>
                    <a:endParaRPr lang="uk-UA" sz="1100" baseline="0">
                      <a:latin typeface="Times New Roman" panose="02020603050405020304" pitchFamily="18" charset="0"/>
                      <a:cs typeface="Times New Roman" panose="02020603050405020304" pitchFamily="18" charset="0"/>
                    </a:endParaRPr>
                  </a:p>
                  <a:p>
                    <a:pPr>
                      <a:defRPr sz="1100" b="1">
                        <a:latin typeface="Times New Roman" panose="02020603050405020304" pitchFamily="18" charset="0"/>
                        <a:cs typeface="Times New Roman" panose="02020603050405020304" pitchFamily="18" charset="0"/>
                      </a:defRPr>
                    </a:pPr>
                    <a:r>
                      <a:rPr lang="uk-UA" sz="1100" baseline="0">
                        <a:latin typeface="Times New Roman" panose="02020603050405020304" pitchFamily="18" charset="0"/>
                        <a:cs typeface="Times New Roman" panose="02020603050405020304" pitchFamily="18" charset="0"/>
                      </a:rPr>
                      <a:t> </a:t>
                    </a:r>
                    <a:fld id="{85CB47F6-4892-44F3-9D43-4C4309BBCAC9}" type="PERCENTAGE">
                      <a:rPr lang="uk-UA" sz="1100" baseline="0">
                        <a:latin typeface="Times New Roman" panose="02020603050405020304" pitchFamily="18" charset="0"/>
                        <a:cs typeface="Times New Roman" panose="02020603050405020304" pitchFamily="18" charset="0"/>
                      </a:rPr>
                      <a:pPr>
                        <a:defRPr sz="1100" b="1">
                          <a:latin typeface="Times New Roman" panose="02020603050405020304" pitchFamily="18" charset="0"/>
                          <a:cs typeface="Times New Roman" panose="02020603050405020304" pitchFamily="18" charset="0"/>
                        </a:defRPr>
                      </a:pPr>
                      <a:t>[ВІДСОТОК]</a:t>
                    </a:fld>
                    <a:endParaRPr lang="uk-UA" sz="1100" baseline="0">
                      <a:latin typeface="Times New Roman" panose="02020603050405020304" pitchFamily="18" charset="0"/>
                      <a:cs typeface="Times New Roman" panose="02020603050405020304" pitchFamily="18" charset="0"/>
                    </a:endParaRPr>
                  </a:p>
                </c:rich>
              </c:tx>
              <c:spPr>
                <a:noFill/>
                <a:ln>
                  <a:noFill/>
                </a:ln>
                <a:effectLst/>
              </c:spPr>
              <c:txPr>
                <a:bodyPr rot="0" spcFirstLastPara="1" vertOverflow="ellipsis" vert="horz" wrap="square" lIns="38100" tIns="19050" rIns="38100" bIns="19050" anchor="ctr" anchorCtr="1">
                  <a:no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2C40-4577-8E44-6B3F3150A150}"/>
                </c:ext>
                <c:ext xmlns:c15="http://schemas.microsoft.com/office/drawing/2012/chart" uri="{CE6537A1-D6FC-4f65-9D91-7224C49458BB}">
                  <c15:layout>
                    <c:manualLayout>
                      <c:w val="0.20938443670150989"/>
                      <c:h val="0.49697439179375669"/>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охорона!$A$2:$A$3</c:f>
              <c:strCache>
                <c:ptCount val="2"/>
                <c:pt idx="0">
                  <c:v>Місцевий бюджет</c:v>
                </c:pt>
                <c:pt idx="1">
                  <c:v>Субвенція на здійснення підтримки окремих закладів та заходів у системі охорони здоров"я</c:v>
                </c:pt>
              </c:strCache>
            </c:strRef>
          </c:cat>
          <c:val>
            <c:numRef>
              <c:f>охорона!$B$2:$B$3</c:f>
              <c:numCache>
                <c:formatCode>#\ ##0.0</c:formatCode>
                <c:ptCount val="2"/>
                <c:pt idx="0">
                  <c:v>2194.6</c:v>
                </c:pt>
                <c:pt idx="1">
                  <c:v>461.2</c:v>
                </c:pt>
              </c:numCache>
            </c:numRef>
          </c:val>
          <c:extLst xmlns:c16r2="http://schemas.microsoft.com/office/drawing/2015/06/chart">
            <c:ext xmlns:c16="http://schemas.microsoft.com/office/drawing/2014/chart" uri="{C3380CC4-5D6E-409C-BE32-E72D297353CC}">
              <c16:uniqueId val="{00000004-2C40-4577-8E44-6B3F3150A150}"/>
            </c:ext>
          </c:extLst>
        </c:ser>
        <c:dLbls>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0.36646</cdr:x>
      <cdr:y>0.18026</cdr:y>
    </cdr:from>
    <cdr:to>
      <cdr:x>0.62481</cdr:x>
      <cdr:y>0.29875</cdr:y>
    </cdr:to>
    <cdr:sp macro="" textlink="">
      <cdr:nvSpPr>
        <cdr:cNvPr id="2" name="Стрілка вниз 1"/>
        <cdr:cNvSpPr/>
      </cdr:nvSpPr>
      <cdr:spPr>
        <a:xfrm xmlns:a="http://schemas.openxmlformats.org/drawingml/2006/main">
          <a:off x="2307216" y="827577"/>
          <a:ext cx="1626611" cy="544022"/>
        </a:xfrm>
        <a:prstGeom xmlns:a="http://schemas.openxmlformats.org/drawingml/2006/main" prst="down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horzOverflow="clip">
          <a:noAutofit/>
        </a:bodyPr>
        <a:lstStyle xmlns:a="http://schemas.openxmlformats.org/drawingml/2006/main"/>
        <a:p xmlns:a="http://schemas.openxmlformats.org/drawingml/2006/main">
          <a:pPr algn="ctr"/>
          <a:r>
            <a:rPr lang="uk-UA" sz="1200" b="1">
              <a:solidFill>
                <a:srgbClr val="002060"/>
              </a:solidFill>
              <a:latin typeface="Times New Roman" panose="02020603050405020304" pitchFamily="18" charset="0"/>
              <a:cs typeface="Times New Roman" panose="02020603050405020304" pitchFamily="18" charset="0"/>
            </a:rPr>
            <a:t>117 750,9</a:t>
          </a:r>
        </a:p>
      </cdr:txBody>
    </cdr:sp>
  </cdr:relSizeAnchor>
</c:userShapes>
</file>

<file path=word/drawings/drawing2.xml><?xml version="1.0" encoding="utf-8"?>
<c:userShapes xmlns:c="http://schemas.openxmlformats.org/drawingml/2006/chart">
  <cdr:relSizeAnchor xmlns:cdr="http://schemas.openxmlformats.org/drawingml/2006/chartDrawing">
    <cdr:from>
      <cdr:x>0.38328</cdr:x>
      <cdr:y>0.15479</cdr:y>
    </cdr:from>
    <cdr:to>
      <cdr:x>0.62544</cdr:x>
      <cdr:y>0.35381</cdr:y>
    </cdr:to>
    <cdr:sp macro="" textlink="">
      <cdr:nvSpPr>
        <cdr:cNvPr id="2" name="Стрілка вниз 1"/>
        <cdr:cNvSpPr/>
      </cdr:nvSpPr>
      <cdr:spPr>
        <a:xfrm xmlns:a="http://schemas.openxmlformats.org/drawingml/2006/main">
          <a:off x="2095499" y="600076"/>
          <a:ext cx="1323976" cy="771525"/>
        </a:xfrm>
        <a:prstGeom xmlns:a="http://schemas.openxmlformats.org/drawingml/2006/main" prst="down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uk-UA" sz="1200" b="1">
            <a:solidFill>
              <a:schemeClr val="tx1"/>
            </a:solidFill>
          </a:endParaRPr>
        </a:p>
        <a:p xmlns:a="http://schemas.openxmlformats.org/drawingml/2006/main">
          <a:r>
            <a:rPr lang="uk-UA" sz="1200" b="1">
              <a:solidFill>
                <a:schemeClr val="tx1"/>
              </a:solidFill>
            </a:rPr>
            <a:t>2 655,8</a:t>
          </a:r>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58C2C-0239-4D05-A6F9-802B62C69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690</TotalTime>
  <Pages>23</Pages>
  <Words>36198</Words>
  <Characters>20633</Characters>
  <Application>Microsoft Office Word</Application>
  <DocSecurity>0</DocSecurity>
  <Lines>171</Lines>
  <Paragraphs>113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56718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246</cp:revision>
  <cp:lastPrinted>2021-04-28T12:07:00Z</cp:lastPrinted>
  <dcterms:created xsi:type="dcterms:W3CDTF">2021-04-26T06:48:00Z</dcterms:created>
  <dcterms:modified xsi:type="dcterms:W3CDTF">2021-05-18T07:19:00Z</dcterms:modified>
</cp:coreProperties>
</file>